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仿宋_GB2312"/>
          <w:color w:val="000000"/>
          <w:kern w:val="0"/>
          <w:sz w:val="32"/>
          <w:szCs w:val="32"/>
        </w:rPr>
      </w:pPr>
      <w:bookmarkStart w:id="0" w:name="_GoBack"/>
      <w:bookmarkEnd w:id="0"/>
      <w:r>
        <w:rPr>
          <w:rFonts w:hint="eastAsia" w:ascii="黑体" w:hAnsi="黑体" w:eastAsia="黑体" w:cs="仿宋_GB2312"/>
          <w:color w:val="000000"/>
          <w:kern w:val="0"/>
          <w:sz w:val="32"/>
          <w:szCs w:val="32"/>
        </w:rPr>
        <w:t>附件</w:t>
      </w:r>
    </w:p>
    <w:p>
      <w:pPr>
        <w:widowControl/>
        <w:spacing w:line="578" w:lineRule="exact"/>
        <w:jc w:val="center"/>
        <w:rPr>
          <w:rFonts w:ascii="方正小标宋简体" w:hAnsi="黑体" w:eastAsia="方正小标宋简体"/>
          <w:b w:val="0"/>
          <w:bCs/>
          <w:color w:val="000000"/>
          <w:kern w:val="0"/>
          <w:sz w:val="44"/>
          <w:szCs w:val="44"/>
        </w:rPr>
      </w:pPr>
      <w:r>
        <w:rPr>
          <w:rFonts w:hint="eastAsia" w:ascii="方正小标宋简体" w:hAnsi="黑体" w:eastAsia="方正小标宋简体"/>
          <w:b w:val="0"/>
          <w:bCs/>
          <w:color w:val="000000"/>
          <w:sz w:val="44"/>
          <w:szCs w:val="44"/>
          <w:lang w:eastAsia="zh-CN"/>
        </w:rPr>
        <w:t>广西</w:t>
      </w:r>
      <w:r>
        <w:rPr>
          <w:rFonts w:hint="eastAsia" w:ascii="方正小标宋简体" w:hAnsi="黑体" w:eastAsia="方正小标宋简体"/>
          <w:b w:val="0"/>
          <w:bCs/>
          <w:color w:val="000000"/>
          <w:sz w:val="44"/>
          <w:szCs w:val="44"/>
        </w:rPr>
        <w:t>林业管理领域轻微违法行为依法不予行政处罚事项清单</w:t>
      </w:r>
    </w:p>
    <w:p>
      <w:pPr>
        <w:widowControl/>
        <w:spacing w:line="578" w:lineRule="exact"/>
        <w:rPr>
          <w:rFonts w:ascii="黑体" w:hAnsi="黑体" w:eastAsia="黑体" w:cs="宋体"/>
          <w:color w:val="000000"/>
          <w:kern w:val="0"/>
          <w:sz w:val="32"/>
          <w:szCs w:val="32"/>
        </w:rPr>
      </w:pPr>
    </w:p>
    <w:tbl>
      <w:tblPr>
        <w:tblStyle w:val="5"/>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30"/>
        <w:gridCol w:w="6999"/>
        <w:gridCol w:w="3306"/>
        <w:gridCol w:w="110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958" w:type="dxa"/>
            <w:gridSpan w:val="6"/>
            <w:vAlign w:val="center"/>
          </w:tcPr>
          <w:p>
            <w:pPr>
              <w:widowControl/>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32"/>
                <w:szCs w:val="32"/>
              </w:rPr>
              <w:t>一、下列违法行为轻微并及时改正，没有造成危害后果的，不予行政处罚（轻微不罚）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39" w:type="dxa"/>
            <w:vAlign w:val="center"/>
          </w:tcPr>
          <w:p>
            <w:pPr>
              <w:widowControl/>
              <w:spacing w:line="578"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序号</w:t>
            </w:r>
          </w:p>
        </w:tc>
        <w:tc>
          <w:tcPr>
            <w:tcW w:w="1530" w:type="dxa"/>
            <w:vAlign w:val="center"/>
          </w:tcPr>
          <w:p>
            <w:pPr>
              <w:widowControl/>
              <w:spacing w:line="578"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违法事项</w:t>
            </w:r>
          </w:p>
        </w:tc>
        <w:tc>
          <w:tcPr>
            <w:tcW w:w="6999" w:type="dxa"/>
            <w:vAlign w:val="center"/>
          </w:tcPr>
          <w:p>
            <w:pPr>
              <w:widowControl/>
              <w:spacing w:line="578"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法定依据</w:t>
            </w:r>
          </w:p>
        </w:tc>
        <w:tc>
          <w:tcPr>
            <w:tcW w:w="3306" w:type="dxa"/>
            <w:vAlign w:val="center"/>
          </w:tcPr>
          <w:p>
            <w:pPr>
              <w:widowControl/>
              <w:spacing w:line="578"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不予处罚适用条件</w:t>
            </w:r>
          </w:p>
        </w:tc>
        <w:tc>
          <w:tcPr>
            <w:tcW w:w="1104" w:type="dxa"/>
            <w:vAlign w:val="center"/>
          </w:tcPr>
          <w:p>
            <w:pPr>
              <w:widowControl/>
              <w:spacing w:line="40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监管措施</w:t>
            </w:r>
          </w:p>
        </w:tc>
        <w:tc>
          <w:tcPr>
            <w:tcW w:w="1080" w:type="dxa"/>
            <w:vAlign w:val="center"/>
          </w:tcPr>
          <w:p>
            <w:pPr>
              <w:widowControl/>
              <w:spacing w:line="40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39" w:type="dxa"/>
            <w:vAlign w:val="center"/>
          </w:tcPr>
          <w:p>
            <w:pPr>
              <w:widowControl/>
              <w:spacing w:line="578" w:lineRule="exact"/>
              <w:jc w:val="center"/>
              <w:rPr>
                <w:rFonts w:ascii="仿宋_GB2312" w:hAnsi="微软雅黑" w:eastAsia="仿宋_GB2312" w:cs="宋体"/>
                <w:color w:val="000000"/>
                <w:kern w:val="0"/>
                <w:sz w:val="22"/>
                <w:szCs w:val="22"/>
              </w:rPr>
            </w:pPr>
            <w:r>
              <w:rPr>
                <w:rFonts w:ascii="仿宋_GB2312" w:hAnsi="微软雅黑" w:eastAsia="仿宋_GB2312" w:cs="宋体"/>
                <w:color w:val="000000"/>
                <w:kern w:val="0"/>
                <w:sz w:val="28"/>
                <w:szCs w:val="28"/>
              </w:rPr>
              <w:t>1</w:t>
            </w:r>
          </w:p>
        </w:tc>
        <w:tc>
          <w:tcPr>
            <w:tcW w:w="1530" w:type="dxa"/>
            <w:vAlign w:val="center"/>
          </w:tcPr>
          <w:p>
            <w:pPr>
              <w:widowControl/>
              <w:spacing w:line="560" w:lineRule="exact"/>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不按照沙化土地治理方案进行治理的违法行为</w:t>
            </w:r>
          </w:p>
        </w:tc>
        <w:tc>
          <w:tcPr>
            <w:tcW w:w="6999" w:type="dxa"/>
            <w:vAlign w:val="center"/>
          </w:tcPr>
          <w:p>
            <w:pPr>
              <w:widowControl/>
              <w:spacing w:line="560" w:lineRule="exact"/>
              <w:ind w:firstLine="420" w:firstLineChars="150"/>
              <w:jc w:val="left"/>
              <w:rPr>
                <w:rFonts w:ascii="仿宋_GB2312" w:hAnsi="微软雅黑" w:eastAsia="仿宋_GB2312" w:cs="宋体"/>
                <w:color w:val="000000"/>
                <w:kern w:val="0"/>
                <w:sz w:val="28"/>
                <w:szCs w:val="28"/>
              </w:rPr>
            </w:pPr>
            <w:r>
              <w:rPr>
                <w:rFonts w:hint="eastAsia" w:ascii="仿宋_GB2312" w:hAnsi="仿宋_GB2312" w:eastAsia="仿宋_GB2312" w:cs="仿宋_GB2312"/>
                <w:color w:val="000000"/>
                <w:kern w:val="0"/>
                <w:sz w:val="28"/>
                <w:szCs w:val="28"/>
              </w:rPr>
              <w:t>《中华人民共和国防沙治沙法》第四十一条　</w:t>
            </w:r>
            <w:r>
              <w:rPr>
                <w:rFonts w:hint="eastAsia" w:ascii="仿宋_GB2312" w:hAnsi="微软雅黑" w:eastAsia="仿宋_GB2312" w:cs="宋体"/>
                <w:color w:val="000000"/>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3306" w:type="dxa"/>
            <w:vAlign w:val="center"/>
          </w:tcPr>
          <w:p>
            <w:pPr>
              <w:widowControl/>
              <w:spacing w:line="560" w:lineRule="exact"/>
              <w:ind w:firstLine="560" w:firstLineChars="200"/>
              <w:jc w:val="both"/>
              <w:rPr>
                <w:rFonts w:ascii="仿宋_GB2312" w:hAnsi="微软雅黑" w:eastAsia="仿宋_GB2312" w:cs="宋体"/>
                <w:color w:val="000000"/>
                <w:kern w:val="0"/>
                <w:sz w:val="28"/>
                <w:szCs w:val="28"/>
              </w:rPr>
            </w:pPr>
            <w:r>
              <w:rPr>
                <w:rFonts w:ascii="仿宋_GB2312" w:hAnsi="微软雅黑" w:eastAsia="仿宋_GB2312" w:cs="宋体"/>
                <w:color w:val="000000"/>
                <w:kern w:val="0"/>
                <w:sz w:val="28"/>
                <w:szCs w:val="28"/>
              </w:rPr>
              <w:t>1.</w:t>
            </w:r>
            <w:r>
              <w:rPr>
                <w:rFonts w:hint="eastAsia" w:ascii="仿宋_GB2312" w:hAnsi="微软雅黑" w:eastAsia="仿宋_GB2312" w:cs="宋体"/>
                <w:color w:val="000000"/>
                <w:kern w:val="0"/>
                <w:sz w:val="28"/>
                <w:szCs w:val="28"/>
              </w:rPr>
              <w:t>适用于违反《</w:t>
            </w:r>
            <w:r>
              <w:rPr>
                <w:rFonts w:hint="eastAsia" w:ascii="仿宋_GB2312" w:hAnsi="仿宋_GB2312" w:eastAsia="仿宋_GB2312" w:cs="仿宋_GB2312"/>
                <w:color w:val="000000"/>
                <w:kern w:val="0"/>
                <w:sz w:val="28"/>
                <w:szCs w:val="28"/>
              </w:rPr>
              <w:t>中华人民共和国</w:t>
            </w:r>
            <w:r>
              <w:rPr>
                <w:rFonts w:hint="eastAsia" w:ascii="仿宋_GB2312" w:hAnsi="微软雅黑" w:eastAsia="仿宋_GB2312" w:cs="宋体"/>
                <w:color w:val="000000"/>
                <w:kern w:val="0"/>
                <w:sz w:val="28"/>
                <w:szCs w:val="28"/>
              </w:rPr>
              <w:t>防沙治沙法》第二十八条第一款规定，不按照治理方案进行治理，但按照行政执法机关的要求及时改正且属首次实施的；</w:t>
            </w:r>
          </w:p>
          <w:p>
            <w:pPr>
              <w:widowControl/>
              <w:spacing w:line="560" w:lineRule="exact"/>
              <w:ind w:firstLine="560" w:firstLineChars="200"/>
              <w:jc w:val="both"/>
              <w:rPr>
                <w:rFonts w:ascii="仿宋_GB2312" w:hAnsi="微软雅黑" w:eastAsia="仿宋_GB2312" w:cs="宋体"/>
                <w:color w:val="000000"/>
                <w:kern w:val="0"/>
                <w:sz w:val="28"/>
                <w:szCs w:val="28"/>
              </w:rPr>
            </w:pPr>
            <w:r>
              <w:rPr>
                <w:rFonts w:ascii="仿宋_GB2312" w:hAnsi="微软雅黑" w:eastAsia="仿宋_GB2312" w:cs="宋体"/>
                <w:color w:val="000000"/>
                <w:kern w:val="0"/>
                <w:sz w:val="28"/>
                <w:szCs w:val="28"/>
              </w:rPr>
              <w:t>2.</w:t>
            </w:r>
            <w:r>
              <w:rPr>
                <w:rFonts w:hint="eastAsia" w:ascii="仿宋_GB2312" w:hAnsi="微软雅黑" w:eastAsia="仿宋_GB2312" w:cs="宋体"/>
                <w:color w:val="000000"/>
                <w:kern w:val="0"/>
                <w:sz w:val="28"/>
                <w:szCs w:val="28"/>
              </w:rPr>
              <w:t>适用于违反《</w:t>
            </w:r>
            <w:r>
              <w:rPr>
                <w:rFonts w:hint="eastAsia" w:ascii="仿宋_GB2312" w:hAnsi="仿宋_GB2312" w:eastAsia="仿宋_GB2312" w:cs="仿宋_GB2312"/>
                <w:color w:val="000000"/>
                <w:kern w:val="0"/>
                <w:sz w:val="28"/>
                <w:szCs w:val="28"/>
              </w:rPr>
              <w:t>中华人民共和国</w:t>
            </w:r>
            <w:r>
              <w:rPr>
                <w:rFonts w:hint="eastAsia" w:ascii="仿宋_GB2312" w:hAnsi="微软雅黑" w:eastAsia="仿宋_GB2312" w:cs="宋体"/>
                <w:color w:val="000000"/>
                <w:kern w:val="0"/>
                <w:sz w:val="28"/>
                <w:szCs w:val="28"/>
              </w:rPr>
              <w:t>防沙治沙法》第二十九条规定，但按照行政执法机关的要求及时改正且属首次实施的。</w:t>
            </w:r>
          </w:p>
        </w:tc>
        <w:tc>
          <w:tcPr>
            <w:tcW w:w="1104" w:type="dxa"/>
            <w:vAlign w:val="center"/>
          </w:tcPr>
          <w:p>
            <w:pPr>
              <w:widowControl/>
              <w:spacing w:line="560" w:lineRule="exact"/>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限期改正，拒不改正的，依法处罚</w:t>
            </w:r>
          </w:p>
        </w:tc>
        <w:tc>
          <w:tcPr>
            <w:tcW w:w="1080" w:type="dxa"/>
            <w:vAlign w:val="center"/>
          </w:tcPr>
          <w:p>
            <w:pPr>
              <w:widowControl/>
              <w:spacing w:line="560" w:lineRule="exact"/>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县级以上地方人民政府林业主管部门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958" w:type="dxa"/>
            <w:gridSpan w:val="6"/>
            <w:vAlign w:val="center"/>
          </w:tcPr>
          <w:p>
            <w:pPr>
              <w:widowControl/>
              <w:spacing w:line="560" w:lineRule="exact"/>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二、下列违法行为初次违法且危害后果轻微并及时改正的，可以不予行政处罚（首违不罚）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9"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序号</w:t>
            </w:r>
          </w:p>
        </w:tc>
        <w:tc>
          <w:tcPr>
            <w:tcW w:w="1530"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违法事项</w:t>
            </w:r>
          </w:p>
        </w:tc>
        <w:tc>
          <w:tcPr>
            <w:tcW w:w="6999"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法定依据</w:t>
            </w:r>
          </w:p>
        </w:tc>
        <w:tc>
          <w:tcPr>
            <w:tcW w:w="3306"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不予处罚适用条件</w:t>
            </w:r>
          </w:p>
        </w:tc>
        <w:tc>
          <w:tcPr>
            <w:tcW w:w="1104"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监管措施</w:t>
            </w:r>
          </w:p>
        </w:tc>
        <w:tc>
          <w:tcPr>
            <w:tcW w:w="1080" w:type="dxa"/>
            <w:vAlign w:val="center"/>
          </w:tcPr>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39" w:type="dxa"/>
            <w:vAlign w:val="center"/>
          </w:tcPr>
          <w:p>
            <w:pPr>
              <w:widowControl/>
              <w:spacing w:line="560" w:lineRule="exact"/>
              <w:jc w:val="center"/>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1</w:t>
            </w:r>
          </w:p>
        </w:tc>
        <w:tc>
          <w:tcPr>
            <w:tcW w:w="1530" w:type="dxa"/>
            <w:vAlign w:val="center"/>
          </w:tcPr>
          <w:p>
            <w:pPr>
              <w:widowControl/>
              <w:spacing w:line="560" w:lineRule="exact"/>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单位和个人违法进行营利性治沙造成土地沙化加重</w:t>
            </w:r>
          </w:p>
        </w:tc>
        <w:tc>
          <w:tcPr>
            <w:tcW w:w="6999" w:type="dxa"/>
            <w:vAlign w:val="center"/>
          </w:tcPr>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《中华人民共和国防沙治沙法》第二十六条　不具有土地所有权或者使用权的单位和个人从事营利性治沙活动的，应当先与土地所有权人或者使用权人签订协议，依法取得土地使用权。</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（一）被治理土地权属的合法证明文件和治理协议；</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（二）符合防沙治沙规划的治理方案；</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（三）治理所需的资金证明。</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第二十七条　本法第二十六条第二款第二项所称治理方案，应当包括以下内容：</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（一）治理范围界限；</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（二）分阶段治理目标和治理期限；</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（三）主要治理措施；</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（四）经当地水行政主管部门同意的用水来源和用水量指标；</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（五）治理后的土地用途和植被管护措施；</w:t>
            </w:r>
          </w:p>
          <w:p>
            <w:pPr>
              <w:widowControl/>
              <w:spacing w:line="560" w:lineRule="exact"/>
              <w:ind w:firstLine="0" w:firstLineChars="0"/>
              <w:jc w:val="lef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（六）其他需要载明的事项</w:t>
            </w:r>
          </w:p>
          <w:p>
            <w:pPr>
              <w:widowControl/>
              <w:spacing w:line="560" w:lineRule="exact"/>
              <w:ind w:firstLine="0" w:firstLineChars="0"/>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color w:val="000000"/>
                <w:kern w:val="0"/>
                <w:sz w:val="28"/>
                <w:szCs w:val="28"/>
              </w:rPr>
              <w:t>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3306" w:type="dxa"/>
            <w:vAlign w:val="center"/>
          </w:tcPr>
          <w:p>
            <w:pPr>
              <w:widowControl/>
              <w:spacing w:line="560" w:lineRule="exact"/>
              <w:ind w:firstLine="560" w:firstLineChars="200"/>
              <w:rPr>
                <w:rFonts w:ascii="仿宋_GB2312" w:hAnsi="仿宋_GB2312" w:eastAsia="仿宋_GB2312" w:cs="仿宋_GB2312"/>
                <w:b/>
                <w:color w:val="000000"/>
                <w:kern w:val="0"/>
                <w:sz w:val="32"/>
                <w:szCs w:val="32"/>
              </w:rPr>
            </w:pPr>
            <w:r>
              <w:rPr>
                <w:rFonts w:hint="eastAsia" w:ascii="仿宋_GB2312" w:hAnsi="微软雅黑" w:eastAsia="仿宋_GB2312" w:cs="宋体"/>
                <w:bCs w:val="0"/>
                <w:color w:val="000000"/>
                <w:kern w:val="0"/>
                <w:sz w:val="28"/>
                <w:szCs w:val="28"/>
              </w:rPr>
              <w:t>适用于违反《</w:t>
            </w:r>
            <w:r>
              <w:rPr>
                <w:rFonts w:hint="eastAsia" w:ascii="仿宋_GB2312" w:hAnsi="仿宋_GB2312" w:eastAsia="仿宋_GB2312" w:cs="仿宋_GB2312"/>
                <w:color w:val="000000"/>
                <w:kern w:val="0"/>
                <w:sz w:val="28"/>
                <w:szCs w:val="28"/>
              </w:rPr>
              <w:t>中华人民共和国</w:t>
            </w:r>
            <w:r>
              <w:rPr>
                <w:rFonts w:hint="eastAsia" w:ascii="仿宋_GB2312" w:hAnsi="微软雅黑" w:eastAsia="仿宋_GB2312" w:cs="宋体"/>
                <w:bCs w:val="0"/>
                <w:color w:val="000000"/>
                <w:kern w:val="0"/>
                <w:sz w:val="28"/>
                <w:szCs w:val="28"/>
              </w:rPr>
              <w:t>防沙治沙法》第二十六条，单位和个人违法进行营利性治沙造成土地沙化加重，首次被发现且在责令期限内改正，未发现有其他违法行为的。</w:t>
            </w:r>
          </w:p>
        </w:tc>
        <w:tc>
          <w:tcPr>
            <w:tcW w:w="1104" w:type="dxa"/>
            <w:vAlign w:val="center"/>
          </w:tcPr>
          <w:p>
            <w:pPr>
              <w:widowControl/>
              <w:spacing w:line="560" w:lineRule="exact"/>
              <w:jc w:val="left"/>
              <w:rPr>
                <w:rFonts w:ascii="仿宋_GB2312" w:hAnsi="仿宋_GB2312" w:eastAsia="仿宋_GB2312" w:cs="仿宋_GB2312"/>
                <w:b/>
                <w:color w:val="000000"/>
                <w:kern w:val="0"/>
                <w:sz w:val="32"/>
                <w:szCs w:val="32"/>
              </w:rPr>
            </w:pPr>
            <w:r>
              <w:rPr>
                <w:rFonts w:hint="eastAsia" w:ascii="仿宋_GB2312" w:hAnsi="微软雅黑" w:eastAsia="仿宋_GB2312" w:cs="宋体"/>
                <w:color w:val="000000"/>
                <w:kern w:val="0"/>
                <w:sz w:val="28"/>
                <w:szCs w:val="28"/>
              </w:rPr>
              <w:t>限期改正，拒不改正的，依法处罚</w:t>
            </w:r>
          </w:p>
        </w:tc>
        <w:tc>
          <w:tcPr>
            <w:tcW w:w="1080" w:type="dxa"/>
            <w:vAlign w:val="center"/>
          </w:tcPr>
          <w:p>
            <w:pPr>
              <w:widowControl/>
              <w:spacing w:line="560" w:lineRule="exact"/>
              <w:jc w:val="left"/>
              <w:rPr>
                <w:rFonts w:ascii="仿宋_GB2312" w:hAnsi="仿宋_GB2312" w:eastAsia="仿宋_GB2312" w:cs="仿宋_GB2312"/>
                <w:b/>
                <w:color w:val="000000"/>
                <w:kern w:val="0"/>
                <w:sz w:val="32"/>
                <w:szCs w:val="32"/>
              </w:rPr>
            </w:pPr>
            <w:r>
              <w:rPr>
                <w:rFonts w:hint="eastAsia" w:ascii="仿宋_GB2312" w:hAnsi="微软雅黑" w:eastAsia="仿宋_GB2312" w:cs="宋体"/>
                <w:bCs w:val="0"/>
                <w:color w:val="000000"/>
                <w:kern w:val="0"/>
                <w:sz w:val="28"/>
                <w:szCs w:val="28"/>
              </w:rPr>
              <w:t>县级以上地方人民政府林业主管部门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939" w:type="dxa"/>
            <w:vAlign w:val="center"/>
          </w:tcPr>
          <w:p>
            <w:pPr>
              <w:widowControl/>
              <w:spacing w:line="560" w:lineRule="exact"/>
              <w:jc w:val="left"/>
              <w:rPr>
                <w:rFonts w:hint="eastAsia" w:ascii="仿宋_GB2312" w:hAnsi="微软雅黑" w:eastAsia="仿宋_GB2312" w:cs="宋体"/>
                <w:bCs w:val="0"/>
                <w:color w:val="000000"/>
                <w:kern w:val="0"/>
                <w:sz w:val="28"/>
                <w:szCs w:val="28"/>
              </w:rPr>
            </w:pPr>
            <w:r>
              <w:rPr>
                <w:rFonts w:hint="eastAsia" w:ascii="仿宋_GB2312" w:hAnsi="微软雅黑" w:eastAsia="仿宋_GB2312" w:cs="宋体"/>
                <w:bCs w:val="0"/>
                <w:color w:val="000000"/>
                <w:kern w:val="0"/>
                <w:sz w:val="28"/>
                <w:szCs w:val="28"/>
              </w:rPr>
              <w:t>2</w:t>
            </w:r>
          </w:p>
        </w:tc>
        <w:tc>
          <w:tcPr>
            <w:tcW w:w="1530" w:type="dxa"/>
            <w:vAlign w:val="center"/>
          </w:tcPr>
          <w:p>
            <w:pPr>
              <w:widowControl/>
              <w:spacing w:line="560" w:lineRule="exact"/>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未经批准进入自然保护区或者在自然保护区内不服从管理机构管理</w:t>
            </w:r>
          </w:p>
        </w:tc>
        <w:tc>
          <w:tcPr>
            <w:tcW w:w="6999" w:type="dxa"/>
            <w:vAlign w:val="center"/>
          </w:tcPr>
          <w:p>
            <w:pPr>
              <w:widowControl/>
              <w:spacing w:line="560" w:lineRule="exact"/>
              <w:ind w:firstLine="0" w:firstLineChars="0"/>
              <w:jc w:val="left"/>
              <w:rPr>
                <w:rFonts w:hint="eastAsia" w:ascii="仿宋_GB2312" w:hAnsi="微软雅黑" w:eastAsia="仿宋_GB2312" w:cs="宋体"/>
                <w:bCs w:val="0"/>
                <w:color w:val="000000"/>
                <w:kern w:val="0"/>
                <w:sz w:val="28"/>
                <w:szCs w:val="28"/>
              </w:rPr>
            </w:pPr>
            <w:r>
              <w:rPr>
                <w:rFonts w:hint="eastAsia" w:ascii="仿宋_GB2312" w:hAnsi="微软雅黑" w:eastAsia="仿宋_GB2312" w:cs="宋体"/>
                <w:bCs w:val="0"/>
                <w:color w:val="000000"/>
                <w:kern w:val="0"/>
                <w:sz w:val="28"/>
                <w:szCs w:val="28"/>
              </w:rPr>
              <w:t>《中华人民共和国自然保护区条例》第二十七条第一款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widowControl/>
              <w:spacing w:line="560" w:lineRule="exact"/>
              <w:ind w:firstLine="0" w:firstLineChars="0"/>
              <w:jc w:val="left"/>
              <w:rPr>
                <w:rFonts w:hint="eastAsia" w:ascii="仿宋_GB2312" w:hAnsi="微软雅黑" w:eastAsia="仿宋_GB2312" w:cs="宋体"/>
                <w:bCs w:val="0"/>
                <w:color w:val="000000"/>
                <w:kern w:val="0"/>
                <w:sz w:val="28"/>
                <w:szCs w:val="28"/>
              </w:rPr>
            </w:pPr>
            <w:r>
              <w:rPr>
                <w:rFonts w:hint="eastAsia" w:ascii="仿宋_GB2312" w:hAnsi="微软雅黑" w:eastAsia="仿宋_GB2312" w:cs="宋体"/>
                <w:bCs w:val="0"/>
                <w:color w:val="000000"/>
                <w:kern w:val="0"/>
                <w:sz w:val="28"/>
                <w:szCs w:val="28"/>
              </w:rPr>
              <w:t>第二十八条第一款  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widowControl/>
              <w:spacing w:line="560" w:lineRule="exact"/>
              <w:ind w:firstLine="0" w:firstLineChars="0"/>
              <w:jc w:val="left"/>
              <w:rPr>
                <w:rFonts w:hint="eastAsia" w:ascii="仿宋_GB2312" w:hAnsi="微软雅黑" w:eastAsia="仿宋_GB2312" w:cs="宋体"/>
                <w:bCs w:val="0"/>
                <w:color w:val="000000"/>
                <w:kern w:val="0"/>
                <w:sz w:val="28"/>
                <w:szCs w:val="28"/>
              </w:rPr>
            </w:pPr>
            <w:r>
              <w:rPr>
                <w:rFonts w:hint="eastAsia" w:ascii="仿宋_GB2312" w:hAnsi="微软雅黑" w:eastAsia="仿宋_GB2312" w:cs="宋体"/>
                <w:bCs w:val="0"/>
                <w:color w:val="000000"/>
                <w:kern w:val="0"/>
                <w:sz w:val="28"/>
                <w:szCs w:val="28"/>
              </w:rPr>
              <w:t>第三十四条　违反本条例规定，有下列行为之一的单位和个人，由自然保护区管理机构责令其改正，并可以根据不同情节处以100元以上5000元以下的罚款:</w:t>
            </w:r>
          </w:p>
          <w:p>
            <w:pPr>
              <w:widowControl/>
              <w:spacing w:line="560" w:lineRule="exact"/>
              <w:ind w:firstLine="0" w:firstLineChars="0"/>
              <w:jc w:val="left"/>
              <w:rPr>
                <w:rFonts w:hint="eastAsia" w:ascii="仿宋_GB2312" w:hAnsi="微软雅黑" w:eastAsia="仿宋_GB2312" w:cs="宋体"/>
                <w:bCs w:val="0"/>
                <w:color w:val="000000"/>
                <w:kern w:val="0"/>
                <w:sz w:val="28"/>
                <w:szCs w:val="28"/>
              </w:rPr>
            </w:pPr>
            <w:r>
              <w:rPr>
                <w:rFonts w:hint="eastAsia" w:ascii="仿宋_GB2312" w:hAnsi="微软雅黑" w:eastAsia="仿宋_GB2312" w:cs="宋体"/>
                <w:bCs w:val="0"/>
                <w:color w:val="000000"/>
                <w:kern w:val="0"/>
                <w:sz w:val="28"/>
                <w:szCs w:val="28"/>
              </w:rPr>
              <w:t xml:space="preserve"> ……</w:t>
            </w:r>
          </w:p>
          <w:p>
            <w:pPr>
              <w:widowControl/>
              <w:spacing w:line="560" w:lineRule="exact"/>
              <w:ind w:firstLine="0" w:firstLineChars="0"/>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（二）未经批准进入自然保护区或者在自然保护区内不服从管理机构管理的；</w:t>
            </w:r>
          </w:p>
        </w:tc>
        <w:tc>
          <w:tcPr>
            <w:tcW w:w="3306" w:type="dxa"/>
            <w:vAlign w:val="center"/>
          </w:tcPr>
          <w:p>
            <w:pPr>
              <w:widowControl/>
              <w:spacing w:line="560" w:lineRule="exact"/>
              <w:ind w:firstLine="0" w:firstLineChars="0"/>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适用于违反《中华人民共和国自然保护区条例》第二十七条第一款、第二十八条第一款规定，单位和个人未经批准进入自然保护区，首次被发现并签署书面承诺，在责令期限内改正，且未发现有其他违法行为的。</w:t>
            </w:r>
          </w:p>
        </w:tc>
        <w:tc>
          <w:tcPr>
            <w:tcW w:w="1104" w:type="dxa"/>
            <w:vAlign w:val="center"/>
          </w:tcPr>
          <w:p>
            <w:pPr>
              <w:widowControl/>
              <w:spacing w:line="560" w:lineRule="exact"/>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1.批评教育，签署书面承诺书；</w:t>
            </w:r>
            <w:r>
              <w:rPr>
                <w:rFonts w:hint="eastAsia" w:ascii="仿宋_GB2312" w:hAnsi="微软雅黑" w:eastAsia="仿宋_GB2312" w:cs="宋体"/>
                <w:bCs w:val="0"/>
                <w:color w:val="000000"/>
                <w:kern w:val="0"/>
                <w:sz w:val="28"/>
                <w:szCs w:val="28"/>
              </w:rPr>
              <w:br w:type="textWrapping"/>
            </w:r>
            <w:r>
              <w:rPr>
                <w:rFonts w:hint="eastAsia" w:ascii="仿宋_GB2312" w:hAnsi="微软雅黑" w:eastAsia="仿宋_GB2312" w:cs="宋体"/>
                <w:bCs w:val="0"/>
                <w:color w:val="000000"/>
                <w:kern w:val="0"/>
                <w:sz w:val="28"/>
                <w:szCs w:val="28"/>
              </w:rPr>
              <w:t>2.责令期限内改正，拒不改正的，依法处罚。</w:t>
            </w:r>
          </w:p>
        </w:tc>
        <w:tc>
          <w:tcPr>
            <w:tcW w:w="1080" w:type="dxa"/>
            <w:vAlign w:val="center"/>
          </w:tcPr>
          <w:p>
            <w:pPr>
              <w:widowControl/>
              <w:spacing w:line="560" w:lineRule="exact"/>
              <w:jc w:val="left"/>
              <w:rPr>
                <w:rFonts w:hint="eastAsia" w:ascii="仿宋_GB2312" w:hAnsi="微软雅黑" w:eastAsia="仿宋_GB2312" w:cs="宋体"/>
                <w:b w:val="0"/>
                <w:color w:val="000000"/>
                <w:kern w:val="0"/>
                <w:sz w:val="28"/>
                <w:szCs w:val="28"/>
              </w:rPr>
            </w:pPr>
            <w:r>
              <w:rPr>
                <w:rFonts w:hint="eastAsia" w:ascii="仿宋_GB2312" w:hAnsi="微软雅黑" w:eastAsia="仿宋_GB2312" w:cs="宋体"/>
                <w:bCs w:val="0"/>
                <w:color w:val="000000"/>
                <w:kern w:val="0"/>
                <w:sz w:val="28"/>
                <w:szCs w:val="28"/>
              </w:rPr>
              <w:t>自然保护区管理机构</w:t>
            </w:r>
          </w:p>
        </w:tc>
      </w:tr>
    </w:tbl>
    <w:p>
      <w:pPr>
        <w:spacing w:line="56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42A6243"/>
    <w:rsid w:val="00433886"/>
    <w:rsid w:val="005430B2"/>
    <w:rsid w:val="0061401F"/>
    <w:rsid w:val="0086525C"/>
    <w:rsid w:val="00983A79"/>
    <w:rsid w:val="00C250EC"/>
    <w:rsid w:val="00ED7A72"/>
    <w:rsid w:val="017206B6"/>
    <w:rsid w:val="036D781E"/>
    <w:rsid w:val="08345D49"/>
    <w:rsid w:val="0D876BF2"/>
    <w:rsid w:val="0E052081"/>
    <w:rsid w:val="0E7B8A77"/>
    <w:rsid w:val="12A9286C"/>
    <w:rsid w:val="142A6243"/>
    <w:rsid w:val="218C614B"/>
    <w:rsid w:val="25AC425E"/>
    <w:rsid w:val="25FFF4B7"/>
    <w:rsid w:val="2C8B31E6"/>
    <w:rsid w:val="31486C05"/>
    <w:rsid w:val="318426C0"/>
    <w:rsid w:val="3226011B"/>
    <w:rsid w:val="35073E2A"/>
    <w:rsid w:val="355E1DB6"/>
    <w:rsid w:val="3C87526A"/>
    <w:rsid w:val="3D3C23D7"/>
    <w:rsid w:val="408E52FD"/>
    <w:rsid w:val="423A1C07"/>
    <w:rsid w:val="49301778"/>
    <w:rsid w:val="4CE8123E"/>
    <w:rsid w:val="554F4033"/>
    <w:rsid w:val="562C36C1"/>
    <w:rsid w:val="57F7B394"/>
    <w:rsid w:val="5ED24B17"/>
    <w:rsid w:val="64AD57DF"/>
    <w:rsid w:val="68F154EA"/>
    <w:rsid w:val="6F3F1D23"/>
    <w:rsid w:val="74853EC1"/>
    <w:rsid w:val="74B502C9"/>
    <w:rsid w:val="77CD67DB"/>
    <w:rsid w:val="79C925D3"/>
    <w:rsid w:val="7DD40A71"/>
    <w:rsid w:val="BBF7D7BA"/>
    <w:rsid w:val="CEFC7BDC"/>
    <w:rsid w:val="DFDFDED0"/>
    <w:rsid w:val="DFFB2589"/>
    <w:rsid w:val="F71AFDED"/>
    <w:rsid w:val="F7CF18CE"/>
    <w:rsid w:val="FC530C1C"/>
    <w:rsid w:val="FD9F92F8"/>
    <w:rsid w:val="FFE609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9"/>
    <w:pPr>
      <w:keepNext/>
      <w:keepLines/>
      <w:spacing w:line="560" w:lineRule="exact"/>
      <w:jc w:val="center"/>
      <w:outlineLvl w:val="0"/>
    </w:pPr>
    <w:rPr>
      <w:rFonts w:eastAsia="方正小标宋_GBK" w:cs="Times New Roman"/>
      <w:b/>
      <w:kern w:val="44"/>
      <w:sz w:val="44"/>
      <w:szCs w:val="20"/>
    </w:rPr>
  </w:style>
  <w:style w:type="paragraph" w:styleId="3">
    <w:name w:val="heading 2"/>
    <w:basedOn w:val="4"/>
    <w:next w:val="1"/>
    <w:link w:val="10"/>
    <w:qFormat/>
    <w:uiPriority w:val="99"/>
    <w:pPr>
      <w:keepNext/>
      <w:keepLines/>
      <w:spacing w:line="560" w:lineRule="exact"/>
      <w:jc w:val="center"/>
      <w:outlineLvl w:val="1"/>
    </w:pPr>
    <w:rPr>
      <w:rFonts w:eastAsia="方正小标宋_GBK" w:cs="Times New Roman"/>
      <w:kern w:val="0"/>
      <w:sz w:val="44"/>
      <w:szCs w:val="20"/>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99"/>
    <w:rPr>
      <w:rFonts w:ascii="Arial" w:hAnsi="Arial"/>
      <w:sz w:val="24"/>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customStyle="1" w:styleId="9">
    <w:name w:val="Heading 1 Char"/>
    <w:basedOn w:val="7"/>
    <w:link w:val="2"/>
    <w:qFormat/>
    <w:locked/>
    <w:uiPriority w:val="99"/>
    <w:rPr>
      <w:rFonts w:ascii="Calibri" w:hAnsi="Calibri" w:eastAsia="方正小标宋_GBK"/>
      <w:b/>
      <w:kern w:val="44"/>
      <w:sz w:val="44"/>
    </w:rPr>
  </w:style>
  <w:style w:type="character" w:customStyle="1" w:styleId="10">
    <w:name w:val="Heading 2 Char"/>
    <w:basedOn w:val="7"/>
    <w:link w:val="3"/>
    <w:qFormat/>
    <w:locked/>
    <w:uiPriority w:val="99"/>
    <w:rPr>
      <w:rFonts w:ascii="Arial" w:hAnsi="Arial" w:eastAsia="方正小标宋_GBK"/>
      <w:sz w:val="44"/>
    </w:rPr>
  </w:style>
  <w:style w:type="paragraph" w:customStyle="1" w:styleId="11">
    <w:name w:val="样式1"/>
    <w:basedOn w:val="1"/>
    <w:qFormat/>
    <w:uiPriority w:val="99"/>
    <w:pPr>
      <w:spacing w:line="560" w:lineRule="exact"/>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244</Words>
  <Characters>1397</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2023-10-20T16:17:00Z</dcterms:created>
  <dc:creator>阮柏岍</dc:creator>
  <cp:lastModifiedBy>阮柏岍</cp:lastModifiedBy>
  <dcterms:modified xsi:type="dcterms:W3CDTF">2024-01-10T09:28:43Z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AE1F76D0562945C7842C9E7468DFFE41_12</vt:lpwstr>
  </property>
</Properties>
</file>