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科学发展桉树工作方案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桉树是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桃金娘科桉属植物的统称，是新中国成立以来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从国外引进最成功的树种，其适应性强、生长速度快、材质优良、用途广泛、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固碳能力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强、效益显著，经过长期的栽培目前已成为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广西主要用材林树种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和速生丰产林树种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之一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广西桉树以占全区14%的林地生产出全区80%的木材，以占全国0.6%的林地贡献出全国30%的木材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，全区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桉树林每年固碳4066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吨，桉树产业成为广西林业产业的支柱，为广西的生态建设、经济发展、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贫攻坚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以及维护我国木材安全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和促进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碳中和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作出了巨大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贡献。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但由于有的地方忽视桉树科学生产经营，影响了桉树产业可持续发展。为进一步挖掘桉树的发展潜力，发挥桉树的重要作用，促进壮美广西建设，根据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404040"/>
          <w:spacing w:val="0"/>
          <w:sz w:val="32"/>
          <w:szCs w:val="32"/>
        </w:rPr>
        <w:t>国务院办公厅关于科学绿化的指导意见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404040"/>
          <w:spacing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中华人民共和国森林法》《广西壮族自治区饮用水水源保护条例》等法律法规的规定和政策要求，经深入研究，现制定我区科学发展桉树工作方案如下：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习近平新时代中国特色社会主义思想为指导，深入贯彻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习近平生态文明思想，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践行绿水青山就是金山银山的理念，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促进人与自然和谐共生。坚持可持续经营理念，采育结合，促进桉树资源越采越多，越采越好，青山常在，永续利用。依靠科学技术，转变发展方式，合理布局种植区域，统筹兼顾桉树生态效益、经济效益和社会效益，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增强生态系统功能和生态产品供给能力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404040"/>
          <w:spacing w:val="0"/>
          <w:sz w:val="32"/>
          <w:szCs w:val="32"/>
        </w:rPr>
        <w:t>提升生态系统碳汇增量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。依法依规，分类经营，提高桉树经营主体积极性。多措并举，保护生物多样性，维护区域森林生态系统平衡。充分利用优越的自然条件，提高桉树木材产量，维护国家木材安全，助力乡村振兴。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——坚持适地适树原则。根据不同林地立地条件选择适宜的桉树品种和品系造林，发挥林地的最大生产潜力，提高桉树的生境适应性和生长稳定性。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——坚持依法经营原则。依据《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森林法》等有关法律法规的规定开展桉树生产经营，排除各种不正当干扰，维护经营主体的合法权益，促进桉树产业健康有序发展。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——坚持永续经营原则。采取有效措施维持林地肥力和林业生产条件，促进林地可持续利用，确定合理采伐周期和采伐量，促进桉树可持续经营。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——坚持效益兼顾原则。根据分类经营要求确定桉树林分主要功能的基础上，统筹兼顾桉树的生态效益、经济效益和社会效益，发挥桉树森林的多功能作用。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——坚持政策引导原则。各地根据实际情况研究出台相关政策措施，引导桉树经营主体开展科学生产经营，发挥政策在桉树产业发展中的重要引导作用。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三、发展目标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统筹发展桉树森林的生态效益、经济效益、社会效益等综合效益，把“速丰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”转变为“永丰林”，实现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桉树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持续经营。根据市场需求和森林树种多样性需要，至2030年全区以桉树为优势树种（桉树植株蓄积量占林分植株总蓄积量50%以上）的商品林面积发展目标为3500万亩左右，各设区市桉树面积为本市商品林地面积的1/3左右（北热带气候带地区的北海、钦州、防城港市可根据实际需要适当提高桉树商品林面积比例）。现有桉树森林面积过大的设区市，利用5年左右的时间，通过树种种植结构调整等办法逐步调减桉树面积。适当种植桉树，为发展其他树种留下空间，提高全区及各区域整体森林树种多样性和森林生态系统稳定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四、总体布局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区桉树新增面积主要布局在商品林地。根据适地适树原则，桉树种植的区域优先布局在年平均气温19.6℃以上、北纬24.5°以南区域，主要在北热带和南亚热带气候带的地区，包括北海、钦州、防城港、崇左、南宁、玉林、贵港、梧州、来宾等9个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国家重点生态功能区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产业准入负面清单中管控要求为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禁止种植速生桉树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的县区除外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），以及贺州市的八步区、钟山县、桂林市的荔浦市、平乐县、柳州市的柳江区、柳城县、鹿寨县、河池市的宜州区、金城江区、百色市的平果县、田东县、田阳县、右江区、凌云县、田林县海拔500米以下区域。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五、技术措施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（一）研究推广良种壮苗。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续开展适合我区栽培的桉树良种选育，建立桉树基因库并不断推出新的桉树优良品种和品系。加大桉树科学研究成果转化力度，及时推广栽培桉树良种。认真组织桉树壮苗培育，满足社会桉树造林苗木需要，加强苗木生产监督管理和执法力度，严格把好苗木质量关，使用轻基质易降解容器苗，降低造林成本，缩短缓苗期和提高造林成活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（二）选择适宜造林地块。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适地适树原则，在桉树布局区域内精心选择海拔高度、土壤、坡度、坡位等立地因子适合桉树种植、林地质量等级达到I、Ⅱ、Ⅲ级的造林地块，防止盲目集中连片造林。选择地类主要为宜林荒山荒地、采伐迹地、火烧迹地、低产低效商品林地，禁止违法占用耕地尤其永久基本农田、违法砍伐森林尤其公益林造林。避免选择气温较低的地区和坡度35°以上的急坡、险坡地块造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（三）配置合理造林树种。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桉树造林地块面积大小、经营目标等情况科学确定造林树种配置方式，鼓励营造多树种混交林，连片造林1000亩以上配置两个以上品种或无性系。提倡山顶、山脚平行等高线10~20米宽及山沟垂直等高线10~20米宽范围内种植设计主伐年龄大于20年的乡土珍贵树种或保留原生植被。通过合理配置造林树种增加生物多样性，提高森林对林业有害生物的抵抗能力，增强森林生态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（四）保护林地生态环境。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取局部整地方式，避免全垦整地，减少林地水土流失。逐步探索免炼山整地技术，提高林地地被物覆盖度和生物多样性，促进森林生态系统平衡。推广新造林地树苗周围覆盖可降解防草布，采取割、挖灌木和杂草措施，逐步减少化学除草剂用量，减少面源污染。在饮用水水源保护区禁止炼山和全垦整地，禁止使用国家和自治区禁用限用名录农药和滥用化肥，保护饮用水水源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（五）维持林地土壤肥力。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鼓励开展测土配方、精准施肥，实现养分供应平衡，防止对林地掠夺性生产。逐步加大有机肥料用量，改良林地土壤理化性质。探索肥料缓释、控释技术，减少肥料流失，提高肥料利用率，减少肥量用量，促进养分持续供给。引导采取桉树与固氮树种混交或轮种，增强林地自肥能力。实行采伐剩余物还林，减少林地养分流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（六）实行多元目标培育。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根据立地条件、经营规模、经济能力、市场需求等情况，兼顾大径级材（立木胸径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 cm）、中径级材（立木胸径18～30 cm）、小径级材（立木胸径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 cm）林分培育，合理确定各径级材林分比例，满足社会对不同用途桉树木材的需要，解决投资回报与再投资平衡问题。因地制宜发展桉树林下经济，丰富林产品供应，提高林地利用率和森林综合经济效益。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（七）选择合理采伐年龄。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坚持长轮伐期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）、中轮伐期（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年）、短轮伐期（5～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三种主伐期限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相结合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，通过5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10年的调整，以县（区直国有林场）为单位的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短轮伐期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桉树森林面积不超过1/3。经营水平高的地区和单位逐步探索择伐的采伐方式，将林分内桉树分2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3次择伐完毕，并根据经营目标在择伐后补植其他树种，促进林分形成异龄复层混交林，实现林分全周期经营和林地永续利用。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（八）改造公益林桉树纯林。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公益林中现有桉树纯林根据林木年龄、径级、健康程度等实际情况，编制林分改造计划，采取间伐后补植其他树种的方法，通过5～10年的树种结构调整，逐步把重要生态区位的公益林改造为乡土树种混交林，把林分优势树种改造为非桉树，增加公益林树种多样性，提高公益林的生态功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（一）深入科学研究，解决营林难题。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各级林业教学、科研单位要以问题和目标为导向，持续深入开展桉树森林培育方面的科学技术研究，不断解决桉树营林生产上的难题。力争重点在培育生长快、抗性强、材质好的优良新品种、精准配制肥料、持续合理供给养分、综合防控林业有害生物、研制高效实用整地、抚育机械等方面不断取得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（二）加大宣传力度，普及先进理念。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要加强舆论宣传，大力宣传相关的法律法规、方针政策、造林标准、技术规程等，引导造林主体依法依规科学经营，打击各种造谣行为。要宣传和推广科技成果，提高科技成果转化率，促进科技成果转化为生产力。要宣传实践证明行之有效的营林好经验、好模式和好的经营效益，推广扩大应用面积，获得更大的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（三）强化技术指导，提高营林水平。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要加强桉树发展的指导、监督和管理，督促各造林主体按照有关技术规程开展经营活动，对不执行技术要求的要督促整改，必要时采取政策手段予以调控。要开展各种技术培训，提高技术人员和营林工人的技术水平。要深入生产一线实地检查指导，及时发现生产中存在的技术问题，及时给予纠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（四）建设样板基地，提供学习现场。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、各区直林业事业单位要根据实际情况，在多区域建立桉树科学发展的样板基地，树立展示牌和其他宣传媒介，宣传基地的主要先进技术，向广大林农展示桉树优良品种特性、树种科学配置方式、林下植被控制措施、林地土壤水肥管理策略、林业有害生物综合防控方法、采伐剩余物还林方法等关键性技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严格行政执法，推进依法营林。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各地要加大</w:t>
      </w:r>
      <w:r>
        <w:rPr>
          <w:rFonts w:hint="eastAsia" w:ascii="仿宋_GB2312" w:eastAsia="仿宋_GB2312"/>
          <w:sz w:val="32"/>
          <w:szCs w:val="32"/>
          <w:lang w:eastAsia="zh-CN"/>
        </w:rPr>
        <w:t>《中华人民共和国森林法》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有关法律法规的宣传力度，严格开展林业行政监督与执法，严厉打击各种破坏森林资源和阻扰林业生产的违法行为，依法及时严肃查处各种违法案件，坚决维护广大林区林业生产秩序和造林主体的合法权益，营造依法经营森林的良好社会氛围，促进营造林和谐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（六）加强组织领导，实行政策引导。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要切实把科学发展桉树作为林业产业发展的重要组成部分，加强领导，统筹安排，实行营造林与相关产业同步规划、同步实施、同步推进。要研究制定科学的财政资金补助和林木采伐审批等政策，优先安排长周期、中周期、大径材、中径材、混交林财政资金补助和采伐指标，引导造林主体科学配置造林树种、适当延长桉树采伐周期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8174671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8174671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6258"/>
    <w:multiLevelType w:val="singleLevel"/>
    <w:tmpl w:val="789A625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2"/>
    <w:rsid w:val="00017BD2"/>
    <w:rsid w:val="00020720"/>
    <w:rsid w:val="00023423"/>
    <w:rsid w:val="00043B2C"/>
    <w:rsid w:val="0005634F"/>
    <w:rsid w:val="00057837"/>
    <w:rsid w:val="00066419"/>
    <w:rsid w:val="000673F4"/>
    <w:rsid w:val="00080DF8"/>
    <w:rsid w:val="000840A9"/>
    <w:rsid w:val="0009273B"/>
    <w:rsid w:val="000975B2"/>
    <w:rsid w:val="000A79D1"/>
    <w:rsid w:val="000A7E98"/>
    <w:rsid w:val="000C3470"/>
    <w:rsid w:val="000C48BB"/>
    <w:rsid w:val="000D479E"/>
    <w:rsid w:val="000D6A70"/>
    <w:rsid w:val="000F3DD0"/>
    <w:rsid w:val="000F6C65"/>
    <w:rsid w:val="00100BFB"/>
    <w:rsid w:val="00107081"/>
    <w:rsid w:val="00111418"/>
    <w:rsid w:val="00111B3B"/>
    <w:rsid w:val="001208E3"/>
    <w:rsid w:val="00121A3A"/>
    <w:rsid w:val="00124B06"/>
    <w:rsid w:val="00131717"/>
    <w:rsid w:val="00132DC1"/>
    <w:rsid w:val="00136C1D"/>
    <w:rsid w:val="001506F2"/>
    <w:rsid w:val="00154FDE"/>
    <w:rsid w:val="00180750"/>
    <w:rsid w:val="001A4AF6"/>
    <w:rsid w:val="001B21DF"/>
    <w:rsid w:val="001C4185"/>
    <w:rsid w:val="00212251"/>
    <w:rsid w:val="00223E3D"/>
    <w:rsid w:val="00230361"/>
    <w:rsid w:val="0024544F"/>
    <w:rsid w:val="0027013C"/>
    <w:rsid w:val="002712DB"/>
    <w:rsid w:val="00271CC0"/>
    <w:rsid w:val="00273683"/>
    <w:rsid w:val="00282E68"/>
    <w:rsid w:val="002839DF"/>
    <w:rsid w:val="0029342E"/>
    <w:rsid w:val="00295E19"/>
    <w:rsid w:val="002B1BC8"/>
    <w:rsid w:val="002B6F33"/>
    <w:rsid w:val="002D19E1"/>
    <w:rsid w:val="002F359C"/>
    <w:rsid w:val="002F61FF"/>
    <w:rsid w:val="003075ED"/>
    <w:rsid w:val="0032721E"/>
    <w:rsid w:val="0035342A"/>
    <w:rsid w:val="003558F6"/>
    <w:rsid w:val="003658F9"/>
    <w:rsid w:val="003874D1"/>
    <w:rsid w:val="00397660"/>
    <w:rsid w:val="003A1086"/>
    <w:rsid w:val="003A3529"/>
    <w:rsid w:val="003A43A2"/>
    <w:rsid w:val="003B3FE2"/>
    <w:rsid w:val="003B7DD9"/>
    <w:rsid w:val="003D38FC"/>
    <w:rsid w:val="003F69E0"/>
    <w:rsid w:val="0040714A"/>
    <w:rsid w:val="004175B5"/>
    <w:rsid w:val="00431CD2"/>
    <w:rsid w:val="00437E62"/>
    <w:rsid w:val="00491C22"/>
    <w:rsid w:val="004A2A92"/>
    <w:rsid w:val="004A7075"/>
    <w:rsid w:val="004B5C3C"/>
    <w:rsid w:val="004C212C"/>
    <w:rsid w:val="004D177E"/>
    <w:rsid w:val="004D43DF"/>
    <w:rsid w:val="004E0936"/>
    <w:rsid w:val="004E268B"/>
    <w:rsid w:val="004E3BAC"/>
    <w:rsid w:val="004E70C4"/>
    <w:rsid w:val="004F352F"/>
    <w:rsid w:val="00511E30"/>
    <w:rsid w:val="00516FC1"/>
    <w:rsid w:val="00525C0D"/>
    <w:rsid w:val="00532D63"/>
    <w:rsid w:val="00543B3D"/>
    <w:rsid w:val="00552F98"/>
    <w:rsid w:val="00555380"/>
    <w:rsid w:val="00556D88"/>
    <w:rsid w:val="00573BE5"/>
    <w:rsid w:val="005972A4"/>
    <w:rsid w:val="005A6475"/>
    <w:rsid w:val="005A7168"/>
    <w:rsid w:val="005B1728"/>
    <w:rsid w:val="005C6765"/>
    <w:rsid w:val="005D2F65"/>
    <w:rsid w:val="005F2EC4"/>
    <w:rsid w:val="006021AC"/>
    <w:rsid w:val="00614911"/>
    <w:rsid w:val="00623ED4"/>
    <w:rsid w:val="0064098F"/>
    <w:rsid w:val="0064132E"/>
    <w:rsid w:val="00653627"/>
    <w:rsid w:val="006637B3"/>
    <w:rsid w:val="00665CDF"/>
    <w:rsid w:val="00667547"/>
    <w:rsid w:val="00680933"/>
    <w:rsid w:val="00687DBB"/>
    <w:rsid w:val="006943B7"/>
    <w:rsid w:val="006A04D5"/>
    <w:rsid w:val="006A3F93"/>
    <w:rsid w:val="006A5D86"/>
    <w:rsid w:val="006C2D60"/>
    <w:rsid w:val="006C3F01"/>
    <w:rsid w:val="006C606E"/>
    <w:rsid w:val="006C6E2E"/>
    <w:rsid w:val="006E24E3"/>
    <w:rsid w:val="007039D1"/>
    <w:rsid w:val="00714429"/>
    <w:rsid w:val="0071610B"/>
    <w:rsid w:val="00727C62"/>
    <w:rsid w:val="00732D9F"/>
    <w:rsid w:val="007335C1"/>
    <w:rsid w:val="00744626"/>
    <w:rsid w:val="00751BA8"/>
    <w:rsid w:val="007552DB"/>
    <w:rsid w:val="00760941"/>
    <w:rsid w:val="00763413"/>
    <w:rsid w:val="00766CA1"/>
    <w:rsid w:val="0077023D"/>
    <w:rsid w:val="0077034B"/>
    <w:rsid w:val="0077083D"/>
    <w:rsid w:val="0077376C"/>
    <w:rsid w:val="007834C9"/>
    <w:rsid w:val="0079515A"/>
    <w:rsid w:val="007B090B"/>
    <w:rsid w:val="007C0183"/>
    <w:rsid w:val="007C25A8"/>
    <w:rsid w:val="007E0762"/>
    <w:rsid w:val="007E1729"/>
    <w:rsid w:val="007E6D3C"/>
    <w:rsid w:val="00801052"/>
    <w:rsid w:val="00806927"/>
    <w:rsid w:val="00812C1B"/>
    <w:rsid w:val="00822C51"/>
    <w:rsid w:val="008315B6"/>
    <w:rsid w:val="00833EC9"/>
    <w:rsid w:val="00854933"/>
    <w:rsid w:val="008565B0"/>
    <w:rsid w:val="00874D7A"/>
    <w:rsid w:val="008778D5"/>
    <w:rsid w:val="00886716"/>
    <w:rsid w:val="008A02B4"/>
    <w:rsid w:val="008A37E1"/>
    <w:rsid w:val="008A7565"/>
    <w:rsid w:val="008B70D4"/>
    <w:rsid w:val="008B7ACF"/>
    <w:rsid w:val="008C31CE"/>
    <w:rsid w:val="008C35CC"/>
    <w:rsid w:val="008C4A50"/>
    <w:rsid w:val="008D07EB"/>
    <w:rsid w:val="008D0A23"/>
    <w:rsid w:val="008D1C0E"/>
    <w:rsid w:val="008F15F8"/>
    <w:rsid w:val="008F571A"/>
    <w:rsid w:val="008F5E01"/>
    <w:rsid w:val="00904463"/>
    <w:rsid w:val="0090691F"/>
    <w:rsid w:val="00926761"/>
    <w:rsid w:val="00936D89"/>
    <w:rsid w:val="009379D5"/>
    <w:rsid w:val="00937F83"/>
    <w:rsid w:val="0094218F"/>
    <w:rsid w:val="009450C9"/>
    <w:rsid w:val="00955F45"/>
    <w:rsid w:val="00957002"/>
    <w:rsid w:val="00997786"/>
    <w:rsid w:val="009B6A3B"/>
    <w:rsid w:val="009C71C7"/>
    <w:rsid w:val="009E1A4D"/>
    <w:rsid w:val="009F6857"/>
    <w:rsid w:val="00A01EFF"/>
    <w:rsid w:val="00A034CA"/>
    <w:rsid w:val="00A048A1"/>
    <w:rsid w:val="00A12BA4"/>
    <w:rsid w:val="00A13BE5"/>
    <w:rsid w:val="00A159AC"/>
    <w:rsid w:val="00A17B3C"/>
    <w:rsid w:val="00A22985"/>
    <w:rsid w:val="00A27C63"/>
    <w:rsid w:val="00A40198"/>
    <w:rsid w:val="00A4527F"/>
    <w:rsid w:val="00A55412"/>
    <w:rsid w:val="00A60269"/>
    <w:rsid w:val="00A6425D"/>
    <w:rsid w:val="00A73EB8"/>
    <w:rsid w:val="00A90825"/>
    <w:rsid w:val="00A92408"/>
    <w:rsid w:val="00AA7158"/>
    <w:rsid w:val="00AB1E73"/>
    <w:rsid w:val="00AB35F2"/>
    <w:rsid w:val="00AB3C61"/>
    <w:rsid w:val="00AD30FF"/>
    <w:rsid w:val="00B02AC8"/>
    <w:rsid w:val="00B11D6E"/>
    <w:rsid w:val="00B14181"/>
    <w:rsid w:val="00B14612"/>
    <w:rsid w:val="00B17D56"/>
    <w:rsid w:val="00B268EB"/>
    <w:rsid w:val="00B33B54"/>
    <w:rsid w:val="00B42139"/>
    <w:rsid w:val="00B501C8"/>
    <w:rsid w:val="00B55DF6"/>
    <w:rsid w:val="00B5750D"/>
    <w:rsid w:val="00B8381A"/>
    <w:rsid w:val="00B96721"/>
    <w:rsid w:val="00BF4487"/>
    <w:rsid w:val="00BF5558"/>
    <w:rsid w:val="00BF7889"/>
    <w:rsid w:val="00C01D26"/>
    <w:rsid w:val="00C0693C"/>
    <w:rsid w:val="00C07017"/>
    <w:rsid w:val="00C07A7D"/>
    <w:rsid w:val="00C501CA"/>
    <w:rsid w:val="00C560C4"/>
    <w:rsid w:val="00C67760"/>
    <w:rsid w:val="00C71FB4"/>
    <w:rsid w:val="00C7231B"/>
    <w:rsid w:val="00C95FB2"/>
    <w:rsid w:val="00CA2B2C"/>
    <w:rsid w:val="00CB45F4"/>
    <w:rsid w:val="00CC498D"/>
    <w:rsid w:val="00CC4B8F"/>
    <w:rsid w:val="00CD5F43"/>
    <w:rsid w:val="00CD7851"/>
    <w:rsid w:val="00CE0335"/>
    <w:rsid w:val="00D01AA4"/>
    <w:rsid w:val="00D12C12"/>
    <w:rsid w:val="00D17067"/>
    <w:rsid w:val="00D550AF"/>
    <w:rsid w:val="00D5535F"/>
    <w:rsid w:val="00D704F7"/>
    <w:rsid w:val="00D8680D"/>
    <w:rsid w:val="00D91A0D"/>
    <w:rsid w:val="00DA07B5"/>
    <w:rsid w:val="00DA3B94"/>
    <w:rsid w:val="00DD49F2"/>
    <w:rsid w:val="00DE0333"/>
    <w:rsid w:val="00DE5D3A"/>
    <w:rsid w:val="00DE7C68"/>
    <w:rsid w:val="00DF2522"/>
    <w:rsid w:val="00E067CD"/>
    <w:rsid w:val="00E1522C"/>
    <w:rsid w:val="00E16315"/>
    <w:rsid w:val="00E335B0"/>
    <w:rsid w:val="00E83F60"/>
    <w:rsid w:val="00EA5AAA"/>
    <w:rsid w:val="00EB1600"/>
    <w:rsid w:val="00EB7A6F"/>
    <w:rsid w:val="00ED23D6"/>
    <w:rsid w:val="00EE7D26"/>
    <w:rsid w:val="00F01555"/>
    <w:rsid w:val="00F02089"/>
    <w:rsid w:val="00F12D1E"/>
    <w:rsid w:val="00F2180D"/>
    <w:rsid w:val="00F2233C"/>
    <w:rsid w:val="00F248B4"/>
    <w:rsid w:val="00F54683"/>
    <w:rsid w:val="00F54FFF"/>
    <w:rsid w:val="00F61327"/>
    <w:rsid w:val="00F917DF"/>
    <w:rsid w:val="00F97975"/>
    <w:rsid w:val="00FA0F60"/>
    <w:rsid w:val="00FA1AB8"/>
    <w:rsid w:val="00FA5893"/>
    <w:rsid w:val="00FB3094"/>
    <w:rsid w:val="00FC722D"/>
    <w:rsid w:val="00FE3F74"/>
    <w:rsid w:val="00FF0DBE"/>
    <w:rsid w:val="01DB34AB"/>
    <w:rsid w:val="01EA1A92"/>
    <w:rsid w:val="029E4062"/>
    <w:rsid w:val="04697AA4"/>
    <w:rsid w:val="04A70979"/>
    <w:rsid w:val="04C74D63"/>
    <w:rsid w:val="05C46E05"/>
    <w:rsid w:val="067432F3"/>
    <w:rsid w:val="07445A26"/>
    <w:rsid w:val="08214107"/>
    <w:rsid w:val="088D04A4"/>
    <w:rsid w:val="08946E99"/>
    <w:rsid w:val="092B0DBE"/>
    <w:rsid w:val="09306596"/>
    <w:rsid w:val="093E73FD"/>
    <w:rsid w:val="0BC70E4C"/>
    <w:rsid w:val="0CA706CC"/>
    <w:rsid w:val="0EA02514"/>
    <w:rsid w:val="0F1B5033"/>
    <w:rsid w:val="100E4368"/>
    <w:rsid w:val="10600A5E"/>
    <w:rsid w:val="107E119F"/>
    <w:rsid w:val="107E68A7"/>
    <w:rsid w:val="115E2F57"/>
    <w:rsid w:val="120F0495"/>
    <w:rsid w:val="122822A0"/>
    <w:rsid w:val="1331702C"/>
    <w:rsid w:val="137406D8"/>
    <w:rsid w:val="13B15ED0"/>
    <w:rsid w:val="143E4667"/>
    <w:rsid w:val="147D022E"/>
    <w:rsid w:val="14812461"/>
    <w:rsid w:val="14932CB1"/>
    <w:rsid w:val="153F3853"/>
    <w:rsid w:val="15C630D7"/>
    <w:rsid w:val="165F0F6D"/>
    <w:rsid w:val="17726B01"/>
    <w:rsid w:val="17A84C4C"/>
    <w:rsid w:val="17B009FF"/>
    <w:rsid w:val="17C11D88"/>
    <w:rsid w:val="18CE7F74"/>
    <w:rsid w:val="1A8F237F"/>
    <w:rsid w:val="1BAA2055"/>
    <w:rsid w:val="1BB70112"/>
    <w:rsid w:val="1BC90E60"/>
    <w:rsid w:val="1BD641AC"/>
    <w:rsid w:val="1CC45739"/>
    <w:rsid w:val="1DEB404B"/>
    <w:rsid w:val="1F5E2C73"/>
    <w:rsid w:val="1FF51266"/>
    <w:rsid w:val="214603A5"/>
    <w:rsid w:val="21B56618"/>
    <w:rsid w:val="21D248E8"/>
    <w:rsid w:val="23436713"/>
    <w:rsid w:val="23782B37"/>
    <w:rsid w:val="23F642EA"/>
    <w:rsid w:val="24CB4B2B"/>
    <w:rsid w:val="27A221DF"/>
    <w:rsid w:val="286676FC"/>
    <w:rsid w:val="288551E6"/>
    <w:rsid w:val="28BE3C47"/>
    <w:rsid w:val="28C62E31"/>
    <w:rsid w:val="28E03BD2"/>
    <w:rsid w:val="299B2FD8"/>
    <w:rsid w:val="29F428EA"/>
    <w:rsid w:val="2A1B268B"/>
    <w:rsid w:val="2B86407B"/>
    <w:rsid w:val="2C785A06"/>
    <w:rsid w:val="2D3F3795"/>
    <w:rsid w:val="2DC76059"/>
    <w:rsid w:val="2E725D0E"/>
    <w:rsid w:val="2E941347"/>
    <w:rsid w:val="2EEC617F"/>
    <w:rsid w:val="2FE7447D"/>
    <w:rsid w:val="30270FCE"/>
    <w:rsid w:val="30BD7E10"/>
    <w:rsid w:val="31905FAB"/>
    <w:rsid w:val="31992E44"/>
    <w:rsid w:val="334A4F44"/>
    <w:rsid w:val="33613584"/>
    <w:rsid w:val="33725A3E"/>
    <w:rsid w:val="337E075B"/>
    <w:rsid w:val="344537AC"/>
    <w:rsid w:val="34B21B62"/>
    <w:rsid w:val="35026EEA"/>
    <w:rsid w:val="35B00608"/>
    <w:rsid w:val="35F5237D"/>
    <w:rsid w:val="366536C3"/>
    <w:rsid w:val="37547FAB"/>
    <w:rsid w:val="375E4B6F"/>
    <w:rsid w:val="37CE2A23"/>
    <w:rsid w:val="38593133"/>
    <w:rsid w:val="386C336E"/>
    <w:rsid w:val="3937030B"/>
    <w:rsid w:val="39580362"/>
    <w:rsid w:val="39B7370D"/>
    <w:rsid w:val="3AD84938"/>
    <w:rsid w:val="3B1C263C"/>
    <w:rsid w:val="3B8D18B0"/>
    <w:rsid w:val="3C0651DA"/>
    <w:rsid w:val="3D192ED2"/>
    <w:rsid w:val="3E4843BB"/>
    <w:rsid w:val="3E607D52"/>
    <w:rsid w:val="3EA45099"/>
    <w:rsid w:val="3EB556D3"/>
    <w:rsid w:val="3F1D78C8"/>
    <w:rsid w:val="3F31365E"/>
    <w:rsid w:val="3F533019"/>
    <w:rsid w:val="3F867141"/>
    <w:rsid w:val="3FBD3B71"/>
    <w:rsid w:val="409B1E92"/>
    <w:rsid w:val="41063C5F"/>
    <w:rsid w:val="41A06CAB"/>
    <w:rsid w:val="41BB3177"/>
    <w:rsid w:val="41D24CB7"/>
    <w:rsid w:val="41DF00D0"/>
    <w:rsid w:val="42E20866"/>
    <w:rsid w:val="43992E91"/>
    <w:rsid w:val="448E69D2"/>
    <w:rsid w:val="45244E97"/>
    <w:rsid w:val="453E112C"/>
    <w:rsid w:val="45F836F6"/>
    <w:rsid w:val="46686B8C"/>
    <w:rsid w:val="46CF07E8"/>
    <w:rsid w:val="46DD1CA2"/>
    <w:rsid w:val="479D37AF"/>
    <w:rsid w:val="47EF7BC4"/>
    <w:rsid w:val="482F6860"/>
    <w:rsid w:val="48662994"/>
    <w:rsid w:val="48BD50E6"/>
    <w:rsid w:val="492C6890"/>
    <w:rsid w:val="49C859F5"/>
    <w:rsid w:val="4AD21D5E"/>
    <w:rsid w:val="4B60336F"/>
    <w:rsid w:val="4BF43178"/>
    <w:rsid w:val="4C1146BF"/>
    <w:rsid w:val="4C19720D"/>
    <w:rsid w:val="4CB123CF"/>
    <w:rsid w:val="4D2F644C"/>
    <w:rsid w:val="4D5D450F"/>
    <w:rsid w:val="4EFF0085"/>
    <w:rsid w:val="5014646A"/>
    <w:rsid w:val="502D59DD"/>
    <w:rsid w:val="509F28A0"/>
    <w:rsid w:val="50DF257B"/>
    <w:rsid w:val="51E45797"/>
    <w:rsid w:val="52293BE2"/>
    <w:rsid w:val="523D5FF7"/>
    <w:rsid w:val="52775E03"/>
    <w:rsid w:val="52882687"/>
    <w:rsid w:val="53B76D2F"/>
    <w:rsid w:val="53E67870"/>
    <w:rsid w:val="54165CD5"/>
    <w:rsid w:val="55BF6E01"/>
    <w:rsid w:val="565F73B8"/>
    <w:rsid w:val="5668371C"/>
    <w:rsid w:val="56FE6C2E"/>
    <w:rsid w:val="573A33EE"/>
    <w:rsid w:val="5786544C"/>
    <w:rsid w:val="57C37BF3"/>
    <w:rsid w:val="57E47BB5"/>
    <w:rsid w:val="581C4D10"/>
    <w:rsid w:val="58B55E71"/>
    <w:rsid w:val="59985777"/>
    <w:rsid w:val="59DB5C3C"/>
    <w:rsid w:val="5ABE169D"/>
    <w:rsid w:val="5B865627"/>
    <w:rsid w:val="5C213B95"/>
    <w:rsid w:val="5E6967FF"/>
    <w:rsid w:val="5E7E67D1"/>
    <w:rsid w:val="5FE97387"/>
    <w:rsid w:val="604678A1"/>
    <w:rsid w:val="60EF5C6B"/>
    <w:rsid w:val="61713D8E"/>
    <w:rsid w:val="61FB39D4"/>
    <w:rsid w:val="621E4E47"/>
    <w:rsid w:val="63CE0E17"/>
    <w:rsid w:val="64A91761"/>
    <w:rsid w:val="64FC58FC"/>
    <w:rsid w:val="650B682F"/>
    <w:rsid w:val="653A6331"/>
    <w:rsid w:val="65B55767"/>
    <w:rsid w:val="664F3D70"/>
    <w:rsid w:val="67AA6656"/>
    <w:rsid w:val="67B566CB"/>
    <w:rsid w:val="680663FF"/>
    <w:rsid w:val="688D52D2"/>
    <w:rsid w:val="68DD6B77"/>
    <w:rsid w:val="692325AD"/>
    <w:rsid w:val="695640C5"/>
    <w:rsid w:val="69665C29"/>
    <w:rsid w:val="697500CE"/>
    <w:rsid w:val="69D03B78"/>
    <w:rsid w:val="6BA306D7"/>
    <w:rsid w:val="6BAA20DE"/>
    <w:rsid w:val="6C505417"/>
    <w:rsid w:val="6CF25008"/>
    <w:rsid w:val="6D283372"/>
    <w:rsid w:val="6D7021ED"/>
    <w:rsid w:val="6E043A55"/>
    <w:rsid w:val="6F6526F5"/>
    <w:rsid w:val="706453C5"/>
    <w:rsid w:val="70C3350D"/>
    <w:rsid w:val="711B03F3"/>
    <w:rsid w:val="716F61DD"/>
    <w:rsid w:val="720270D3"/>
    <w:rsid w:val="728D0D8F"/>
    <w:rsid w:val="72916E1F"/>
    <w:rsid w:val="73AE3068"/>
    <w:rsid w:val="73C42277"/>
    <w:rsid w:val="73DD4328"/>
    <w:rsid w:val="74072A45"/>
    <w:rsid w:val="740C28F2"/>
    <w:rsid w:val="741B066F"/>
    <w:rsid w:val="74B34A6F"/>
    <w:rsid w:val="74D017BF"/>
    <w:rsid w:val="75B4642B"/>
    <w:rsid w:val="76484683"/>
    <w:rsid w:val="769D1A57"/>
    <w:rsid w:val="76D43B5B"/>
    <w:rsid w:val="76E416E3"/>
    <w:rsid w:val="770C49D9"/>
    <w:rsid w:val="77CB2F3A"/>
    <w:rsid w:val="78071D0C"/>
    <w:rsid w:val="78341F63"/>
    <w:rsid w:val="78346661"/>
    <w:rsid w:val="78517CB4"/>
    <w:rsid w:val="78AB54DE"/>
    <w:rsid w:val="79254CDC"/>
    <w:rsid w:val="793F1A13"/>
    <w:rsid w:val="796676B3"/>
    <w:rsid w:val="79D9792B"/>
    <w:rsid w:val="7A5732A1"/>
    <w:rsid w:val="7A963CDC"/>
    <w:rsid w:val="7A9C683C"/>
    <w:rsid w:val="7B8D3720"/>
    <w:rsid w:val="7B9802E0"/>
    <w:rsid w:val="7BC12B03"/>
    <w:rsid w:val="7C244095"/>
    <w:rsid w:val="7CFC2103"/>
    <w:rsid w:val="7D260506"/>
    <w:rsid w:val="7D4D1D96"/>
    <w:rsid w:val="7F3C571D"/>
    <w:rsid w:val="7F4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820</Words>
  <Characters>4674</Characters>
  <Lines>38</Lines>
  <Paragraphs>10</Paragraphs>
  <TotalTime>21</TotalTime>
  <ScaleCrop>false</ScaleCrop>
  <LinksUpToDate>false</LinksUpToDate>
  <CharactersWithSpaces>5484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2021-05-09T08:14:00Z</dcterms:created>
  <dc:creator>xb21cn</dc:creator>
  <cp:lastModifiedBy>梁一萍</cp:lastModifiedBy>
  <cp:lastPrinted>2021-07-12T01:19:00Z</cp:lastPrinted>
  <dcterms:modified xsi:type="dcterms:W3CDTF">2021-07-13T03:18:16Z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