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广西壮族自治区林业局关于自治区十三届人大五次会议第</w:t>
      </w:r>
      <w:r>
        <w:rPr>
          <w:rFonts w:hint="eastAsia" w:eastAsia="方正小标宋简体" w:cs="Times New Roman"/>
          <w:sz w:val="44"/>
          <w:szCs w:val="44"/>
          <w:lang w:val="en-US" w:eastAsia="zh-CN"/>
        </w:rPr>
        <w:t>2022</w:t>
      </w:r>
      <w:r>
        <w:rPr>
          <w:rFonts w:hint="default" w:ascii="Times New Roman" w:hAnsi="Times New Roman" w:eastAsia="方正小标宋简体" w:cs="Times New Roman"/>
          <w:sz w:val="44"/>
          <w:szCs w:val="44"/>
          <w:lang w:val="en-US" w:eastAsia="zh-CN"/>
        </w:rPr>
        <w:t>486号代表建议的</w:t>
      </w:r>
      <w:r>
        <w:rPr>
          <w:rFonts w:hint="eastAsia" w:eastAsia="方正小标宋简体" w:cs="Times New Roman"/>
          <w:sz w:val="44"/>
          <w:szCs w:val="44"/>
          <w:lang w:val="en-US" w:eastAsia="zh-CN"/>
        </w:rPr>
        <w:t>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bookmarkStart w:id="0" w:name="fileno"/>
      <w:r>
        <w:rPr>
          <w:rFonts w:hint="eastAsia" w:eastAsia="仿宋_GB2312" w:cs="Times New Roman"/>
          <w:sz w:val="32"/>
          <w:szCs w:val="32"/>
          <w:lang w:eastAsia="zh-CN"/>
        </w:rPr>
        <w:t>桂林函〔2022〕866号</w:t>
      </w:r>
      <w:bookmarkEnd w:id="0"/>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eastAsia="zh-CN"/>
        </w:rPr>
        <w:t>覃可论、谭江永代表</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你们提出的关于</w:t>
      </w:r>
      <w:r>
        <w:rPr>
          <w:rFonts w:hint="eastAsia" w:eastAsia="仿宋_GB2312" w:cs="Times New Roman"/>
          <w:sz w:val="32"/>
          <w:szCs w:val="32"/>
          <w:lang w:val="en-US" w:eastAsia="zh-CN"/>
        </w:rPr>
        <w:t>学习贯彻习近平总书记对毛南族整族脱贫的批示精神支持环江经济社会发展</w:t>
      </w:r>
      <w:r>
        <w:rPr>
          <w:rFonts w:hint="eastAsia" w:ascii="Times New Roman" w:hAnsi="Times New Roman" w:eastAsia="仿宋_GB2312" w:cs="Times New Roman"/>
          <w:sz w:val="32"/>
          <w:szCs w:val="32"/>
          <w:lang w:val="en-US" w:eastAsia="zh-CN"/>
        </w:rPr>
        <w:t>的建议，由自治区人大常委会办公厅交由我单位办理，经研究，现答复如下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val="en-US" w:eastAsia="zh-CN"/>
        </w:rPr>
        <w:t>关于支持环江</w:t>
      </w:r>
      <w:r>
        <w:rPr>
          <w:rFonts w:hint="eastAsia" w:ascii="Times New Roman" w:hAnsi="Times New Roman" w:eastAsia="黑体" w:cs="Times New Roman"/>
          <w:b w:val="0"/>
          <w:bCs w:val="0"/>
          <w:sz w:val="32"/>
          <w:szCs w:val="32"/>
          <w:lang w:val="en-US" w:eastAsia="zh-CN"/>
        </w:rPr>
        <w:t>县</w:t>
      </w:r>
      <w:r>
        <w:rPr>
          <w:rFonts w:hint="default" w:ascii="Times New Roman" w:hAnsi="Times New Roman" w:eastAsia="黑体" w:cs="Times New Roman"/>
          <w:b w:val="0"/>
          <w:bCs w:val="0"/>
          <w:sz w:val="32"/>
          <w:szCs w:val="32"/>
          <w:lang w:val="en-US" w:eastAsia="zh-CN"/>
        </w:rPr>
        <w:t>巩固脱贫攻坚成果</w:t>
      </w:r>
      <w:r>
        <w:rPr>
          <w:rFonts w:hint="eastAsia" w:ascii="Times New Roman" w:hAnsi="Times New Roman" w:eastAsia="黑体" w:cs="Times New Roman"/>
          <w:b w:val="0"/>
          <w:bCs w:val="0"/>
          <w:sz w:val="32"/>
          <w:szCs w:val="32"/>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lang w:val="en-US" w:eastAsia="zh-CN"/>
        </w:rPr>
        <w:t>一是支持林业发展资金。</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年以来，我局</w:t>
      </w:r>
      <w:r>
        <w:rPr>
          <w:rFonts w:hint="eastAsia" w:ascii="Times New Roman" w:hAnsi="Times New Roman" w:eastAsia="仿宋_GB2312" w:cs="Times New Roman"/>
          <w:color w:val="auto"/>
          <w:sz w:val="32"/>
          <w:szCs w:val="32"/>
          <w:lang w:val="en-US" w:eastAsia="zh-CN"/>
        </w:rPr>
        <w:t>安排</w:t>
      </w:r>
      <w:r>
        <w:rPr>
          <w:rFonts w:hint="default" w:ascii="Times New Roman" w:hAnsi="Times New Roman" w:eastAsia="仿宋_GB2312" w:cs="Times New Roman"/>
          <w:color w:val="auto"/>
          <w:sz w:val="32"/>
          <w:szCs w:val="32"/>
          <w:lang w:val="en-US" w:eastAsia="zh-CN"/>
        </w:rPr>
        <w:t>环江县</w:t>
      </w:r>
      <w:r>
        <w:rPr>
          <w:rFonts w:hint="eastAsia" w:ascii="Times New Roman" w:hAnsi="Times New Roman" w:eastAsia="仿宋_GB2312" w:cs="Times New Roman"/>
          <w:color w:val="auto"/>
          <w:sz w:val="32"/>
          <w:szCs w:val="32"/>
          <w:lang w:val="en-US" w:eastAsia="zh-CN"/>
        </w:rPr>
        <w:t>中央和</w:t>
      </w:r>
      <w:r>
        <w:rPr>
          <w:rFonts w:hint="default" w:ascii="Times New Roman" w:hAnsi="Times New Roman" w:eastAsia="仿宋_GB2312" w:cs="Times New Roman"/>
          <w:color w:val="auto"/>
          <w:sz w:val="32"/>
          <w:szCs w:val="32"/>
          <w:lang w:val="en-US" w:eastAsia="zh-CN"/>
        </w:rPr>
        <w:t>自治区财政林业</w:t>
      </w:r>
      <w:r>
        <w:rPr>
          <w:rFonts w:hint="eastAsia" w:ascii="Times New Roman" w:hAnsi="Times New Roman" w:eastAsia="仿宋_GB2312" w:cs="Times New Roman"/>
          <w:color w:val="auto"/>
          <w:sz w:val="32"/>
          <w:szCs w:val="32"/>
          <w:lang w:val="en-US" w:eastAsia="zh-CN"/>
        </w:rPr>
        <w:t>专项</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1.83亿</w:t>
      </w:r>
      <w:r>
        <w:rPr>
          <w:rFonts w:hint="default" w:ascii="Times New Roman" w:hAnsi="Times New Roman" w:eastAsia="仿宋_GB2312" w:cs="Times New Roman"/>
          <w:color w:val="auto"/>
          <w:sz w:val="32"/>
          <w:szCs w:val="32"/>
          <w:lang w:val="en-US" w:eastAsia="zh-CN"/>
        </w:rPr>
        <w:t>元，支持</w:t>
      </w:r>
      <w:r>
        <w:rPr>
          <w:rFonts w:hint="eastAsia" w:ascii="Times New Roman" w:hAnsi="Times New Roman" w:eastAsia="仿宋_GB2312" w:cs="Times New Roman"/>
          <w:color w:val="auto"/>
          <w:sz w:val="32"/>
          <w:szCs w:val="32"/>
          <w:lang w:val="en-US" w:eastAsia="zh-CN"/>
        </w:rPr>
        <w:t>环江县林业生态建设和产业发展，助力巩固脱贫攻坚成果</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bCs/>
          <w:color w:val="auto"/>
          <w:sz w:val="32"/>
          <w:szCs w:val="32"/>
          <w:lang w:val="en-US" w:eastAsia="zh-CN"/>
        </w:rPr>
        <w:t>支持</w:t>
      </w:r>
      <w:r>
        <w:rPr>
          <w:rFonts w:hint="default" w:ascii="Times New Roman" w:hAnsi="Times New Roman" w:eastAsia="仿宋_GB2312" w:cs="Times New Roman"/>
          <w:b/>
          <w:bCs/>
          <w:color w:val="auto"/>
          <w:sz w:val="32"/>
          <w:szCs w:val="32"/>
          <w:lang w:val="en-US" w:eastAsia="zh-CN"/>
        </w:rPr>
        <w:t>林业重大项目。</w:t>
      </w:r>
      <w:r>
        <w:rPr>
          <w:rFonts w:hint="default" w:ascii="Times New Roman" w:hAnsi="Times New Roman" w:eastAsia="仿宋_GB2312" w:cs="Times New Roman"/>
          <w:color w:val="auto"/>
          <w:sz w:val="32"/>
          <w:szCs w:val="32"/>
          <w:lang w:val="en-US" w:eastAsia="zh-CN"/>
        </w:rPr>
        <w:t>高位推动自治区</w:t>
      </w:r>
      <w:r>
        <w:rPr>
          <w:rFonts w:hint="eastAsia" w:ascii="Times New Roman" w:hAnsi="Times New Roman" w:eastAsia="仿宋_GB2312" w:cs="Times New Roman"/>
          <w:color w:val="auto"/>
          <w:sz w:val="32"/>
          <w:szCs w:val="32"/>
          <w:lang w:val="en-US" w:eastAsia="zh-CN"/>
        </w:rPr>
        <w:t>直属国有</w:t>
      </w:r>
      <w:r>
        <w:rPr>
          <w:rFonts w:hint="default" w:ascii="Times New Roman" w:hAnsi="Times New Roman" w:eastAsia="仿宋_GB2312" w:cs="Times New Roman"/>
          <w:color w:val="auto"/>
          <w:sz w:val="32"/>
          <w:szCs w:val="32"/>
          <w:lang w:val="en-US" w:eastAsia="zh-CN"/>
        </w:rPr>
        <w:t>派阳山林场控股企业在环江县开工建设年产35万立方米的超强刨花板生产线，</w:t>
      </w:r>
      <w:r>
        <w:rPr>
          <w:rFonts w:hint="default" w:ascii="Times New Roman" w:hAnsi="Times New Roman" w:eastAsia="仿宋_GB2312" w:cs="Times New Roman"/>
          <w:sz w:val="32"/>
          <w:szCs w:val="32"/>
          <w:lang w:val="en-US" w:eastAsia="zh-CN"/>
        </w:rPr>
        <w:t>有力带动环江</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乃至周边县份</w:t>
      </w:r>
      <w:r>
        <w:rPr>
          <w:rFonts w:hint="eastAsia" w:ascii="Times New Roman" w:hAnsi="Times New Roman" w:eastAsia="仿宋_GB2312" w:cs="Times New Roman"/>
          <w:sz w:val="32"/>
          <w:szCs w:val="32"/>
          <w:lang w:val="en-US" w:eastAsia="zh-CN"/>
        </w:rPr>
        <w:t>木材</w:t>
      </w:r>
      <w:r>
        <w:rPr>
          <w:rFonts w:hint="default" w:ascii="Times New Roman" w:hAnsi="Times New Roman" w:eastAsia="仿宋_GB2312" w:cs="Times New Roman"/>
          <w:sz w:val="32"/>
          <w:szCs w:val="32"/>
          <w:lang w:val="en-US" w:eastAsia="zh-CN"/>
        </w:rPr>
        <w:t>采伐、运输</w:t>
      </w:r>
      <w:r>
        <w:rPr>
          <w:rFonts w:hint="eastAsia" w:ascii="Times New Roman" w:hAnsi="Times New Roman" w:eastAsia="仿宋_GB2312" w:cs="Times New Roman"/>
          <w:sz w:val="32"/>
          <w:szCs w:val="32"/>
          <w:lang w:val="en-US" w:eastAsia="zh-CN"/>
        </w:rPr>
        <w:t>、加工</w:t>
      </w:r>
      <w:r>
        <w:rPr>
          <w:rFonts w:hint="default" w:ascii="Times New Roman" w:hAnsi="Times New Roman" w:eastAsia="仿宋_GB2312" w:cs="Times New Roman"/>
          <w:sz w:val="32"/>
          <w:szCs w:val="32"/>
          <w:lang w:val="en-US" w:eastAsia="zh-CN"/>
        </w:rPr>
        <w:t>等产业发展。</w:t>
      </w:r>
      <w:r>
        <w:rPr>
          <w:rFonts w:hint="default" w:ascii="Times New Roman" w:hAnsi="Times New Roman" w:eastAsia="仿宋_GB2312" w:cs="Times New Roman"/>
          <w:b/>
          <w:bCs/>
          <w:color w:val="auto"/>
          <w:sz w:val="32"/>
          <w:szCs w:val="32"/>
          <w:lang w:eastAsia="zh-CN"/>
        </w:rPr>
        <w:t>三是支持生态护林员选聘续聘。</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年以来，我局每年倾斜安排环江县中央生态护林员补助资金2750万元，资金量排在全区第3位，选聘续聘生态护林员2750名，确保生态护林员稳定就业增收，巩固9000多人脱贫成果。</w:t>
      </w:r>
      <w:r>
        <w:rPr>
          <w:rFonts w:hint="eastAsia" w:ascii="Times New Roman" w:hAnsi="Times New Roman" w:eastAsia="仿宋_GB2312" w:cs="Times New Roman"/>
          <w:b/>
          <w:bCs/>
          <w:sz w:val="32"/>
          <w:szCs w:val="32"/>
          <w:lang w:eastAsia="zh-CN"/>
        </w:rPr>
        <w:t>四是支持消费帮扶。</w:t>
      </w:r>
      <w:r>
        <w:rPr>
          <w:rFonts w:hint="default" w:ascii="Times New Roman" w:hAnsi="Times New Roman" w:eastAsia="仿宋_GB2312" w:cs="Times New Roman"/>
          <w:sz w:val="32"/>
          <w:szCs w:val="32"/>
          <w:lang w:val="en-US" w:eastAsia="zh-CN"/>
        </w:rPr>
        <w:t>通过大型展销活动、机关企事业单位采购、农超对接等多种形式，采购环江县消费帮扶产品约1400万元。</w:t>
      </w:r>
      <w:r>
        <w:rPr>
          <w:rFonts w:hint="eastAsia"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en-US" w:eastAsia="zh-CN"/>
        </w:rPr>
        <w:t>是支持定点帮扶村乡村振兴。</w:t>
      </w:r>
      <w:r>
        <w:rPr>
          <w:rFonts w:hint="eastAsia" w:ascii="Times New Roman" w:hAnsi="Times New Roman" w:eastAsia="仿宋_GB2312" w:cs="Times New Roman"/>
          <w:sz w:val="32"/>
          <w:szCs w:val="32"/>
          <w:lang w:val="en-US" w:eastAsia="zh-CN"/>
        </w:rPr>
        <w:t>自2021年4月</w:t>
      </w:r>
      <w:r>
        <w:rPr>
          <w:rFonts w:hint="default" w:ascii="Times New Roman" w:hAnsi="Times New Roman" w:eastAsia="仿宋_GB2312" w:cs="Times New Roman"/>
          <w:sz w:val="32"/>
          <w:szCs w:val="32"/>
          <w:lang w:val="en-US" w:eastAsia="zh-CN"/>
        </w:rPr>
        <w:t>我局负责定点帮扶环江</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val="en-US" w:eastAsia="zh-CN"/>
        </w:rPr>
        <w:t>6个村</w:t>
      </w:r>
      <w:r>
        <w:rPr>
          <w:rFonts w:hint="eastAsia" w:ascii="Times New Roman" w:hAnsi="Times New Roman" w:eastAsia="仿宋_GB2312" w:cs="Times New Roman"/>
          <w:sz w:val="32"/>
          <w:szCs w:val="32"/>
          <w:lang w:val="en-US" w:eastAsia="zh-CN"/>
        </w:rPr>
        <w:t>以来</w:t>
      </w:r>
      <w:r>
        <w:rPr>
          <w:rFonts w:hint="default" w:ascii="Times New Roman" w:hAnsi="Times New Roman" w:eastAsia="仿宋_GB2312" w:cs="Times New Roman"/>
          <w:sz w:val="32"/>
          <w:szCs w:val="32"/>
          <w:lang w:val="en-US" w:eastAsia="zh-CN"/>
        </w:rPr>
        <w:t>，共</w:t>
      </w:r>
      <w:r>
        <w:rPr>
          <w:rFonts w:hint="eastAsia" w:ascii="Times New Roman" w:hAnsi="Times New Roman" w:eastAsia="仿宋_GB2312" w:cs="Times New Roman"/>
          <w:sz w:val="32"/>
          <w:szCs w:val="32"/>
          <w:lang w:val="en-US" w:eastAsia="zh-CN"/>
        </w:rPr>
        <w:t>选派帮扶干部</w:t>
      </w:r>
      <w:r>
        <w:rPr>
          <w:rFonts w:hint="default" w:ascii="Times New Roman" w:hAnsi="Times New Roman" w:eastAsia="仿宋_GB2312" w:cs="Times New Roman"/>
          <w:sz w:val="32"/>
          <w:szCs w:val="32"/>
          <w:lang w:val="en-US" w:eastAsia="zh-CN"/>
        </w:rPr>
        <w:t>17人，投入帮扶资金140万元，积极帮助6个村巩固脱贫成果、壮大乡村产业、建强基层党组织等；深入开展“春蕾计划”与金秋助学活动，捐赠30万元帮助137名学生解决求学困难；</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lang w:val="en-US" w:eastAsia="zh-CN"/>
        </w:rPr>
        <w:t>2021年</w:t>
      </w:r>
      <w:r>
        <w:rPr>
          <w:rFonts w:hint="eastAsia"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lang w:val="en-US" w:eastAsia="zh-CN"/>
        </w:rPr>
        <w:t>，6个定点帮扶村集体经济总收入58万元，同比增长14%；脱贫户年人均收入1.3万元以上，同比增长6%。2022年3月，组织编制6个定点帮扶村乡村振兴专项规划，并联合环江毛南族自治县人民政府印发《广西壮族自治区林业局定点帮扶环江毛南族自治县6个村乡村振兴专项规划（2021-20</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年）》，因地制宜全面推进乡村振兴。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eastAsia" w:eastAsia="黑体" w:cs="Times New Roman"/>
          <w:b w:val="0"/>
          <w:bCs w:val="0"/>
          <w:sz w:val="32"/>
          <w:szCs w:val="32"/>
          <w:lang w:val="en-US" w:eastAsia="zh-CN"/>
        </w:rPr>
        <w:t>二、</w:t>
      </w:r>
      <w:r>
        <w:rPr>
          <w:rFonts w:hint="default" w:eastAsia="黑体" w:cs="Times New Roman"/>
          <w:b w:val="0"/>
          <w:bCs w:val="0"/>
          <w:sz w:val="32"/>
          <w:szCs w:val="32"/>
          <w:lang w:val="en-US" w:eastAsia="zh-CN"/>
        </w:rPr>
        <w:t>关于支持环江</w:t>
      </w:r>
      <w:r>
        <w:rPr>
          <w:rFonts w:hint="eastAsia" w:eastAsia="黑体" w:cs="Times New Roman"/>
          <w:b w:val="0"/>
          <w:bCs w:val="0"/>
          <w:sz w:val="32"/>
          <w:szCs w:val="32"/>
          <w:lang w:val="en-US" w:eastAsia="zh-CN"/>
        </w:rPr>
        <w:t>县</w:t>
      </w:r>
      <w:r>
        <w:rPr>
          <w:rFonts w:hint="default" w:eastAsia="黑体" w:cs="Times New Roman"/>
          <w:b w:val="0"/>
          <w:bCs w:val="0"/>
          <w:sz w:val="32"/>
          <w:szCs w:val="32"/>
          <w:lang w:val="en-US" w:eastAsia="zh-CN"/>
        </w:rPr>
        <w:t>打造国际漂流赛事基地，提高环江</w:t>
      </w:r>
      <w:r>
        <w:rPr>
          <w:rFonts w:hint="eastAsia" w:eastAsia="黑体" w:cs="Times New Roman"/>
          <w:b w:val="0"/>
          <w:bCs w:val="0"/>
          <w:sz w:val="32"/>
          <w:szCs w:val="32"/>
          <w:lang w:val="en-US" w:eastAsia="zh-CN"/>
        </w:rPr>
        <w:t>“</w:t>
      </w:r>
      <w:r>
        <w:rPr>
          <w:rFonts w:hint="default" w:eastAsia="黑体" w:cs="Times New Roman"/>
          <w:b w:val="0"/>
          <w:bCs w:val="0"/>
          <w:sz w:val="32"/>
          <w:szCs w:val="32"/>
          <w:lang w:val="en-US" w:eastAsia="zh-CN"/>
        </w:rPr>
        <w:t>喀斯特世界自然遗产</w:t>
      </w:r>
      <w:r>
        <w:rPr>
          <w:rFonts w:hint="eastAsia" w:eastAsia="黑体" w:cs="Times New Roman"/>
          <w:b w:val="0"/>
          <w:bCs w:val="0"/>
          <w:sz w:val="32"/>
          <w:szCs w:val="32"/>
          <w:lang w:val="en-US" w:eastAsia="zh-CN"/>
        </w:rPr>
        <w:t>”</w:t>
      </w:r>
      <w:r>
        <w:rPr>
          <w:rFonts w:hint="default" w:eastAsia="黑体" w:cs="Times New Roman"/>
          <w:b w:val="0"/>
          <w:bCs w:val="0"/>
          <w:sz w:val="32"/>
          <w:szCs w:val="32"/>
          <w:lang w:val="en-US" w:eastAsia="zh-CN"/>
        </w:rPr>
        <w:t>这一世界级名片的影响力的建议</w:t>
      </w:r>
    </w:p>
    <w:p>
      <w:pPr>
        <w:keepNext w:val="0"/>
        <w:keepLines w:val="0"/>
        <w:pageBreakBefore w:val="0"/>
        <w:widowControl w:val="0"/>
        <w:kinsoku/>
        <w:wordWrap/>
        <w:overflowPunct/>
        <w:topLinePunct w:val="0"/>
        <w:autoSpaceDE/>
        <w:autoSpaceDN/>
        <w:bidi w:val="0"/>
        <w:adjustRightInd/>
        <w:snapToGrid/>
        <w:spacing w:after="0" w:line="540" w:lineRule="exact"/>
        <w:ind w:firstLine="64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一是关于环江喀斯特世界自然遗产。</w:t>
      </w:r>
      <w:r>
        <w:rPr>
          <w:rFonts w:hint="default" w:ascii="Times New Roman" w:hAnsi="Times New Roman" w:eastAsia="仿宋_GB2312" w:cs="Times New Roman"/>
          <w:kern w:val="2"/>
          <w:sz w:val="32"/>
          <w:szCs w:val="32"/>
          <w:lang w:val="en-US" w:eastAsia="zh-CN" w:bidi="ar-SA"/>
        </w:rPr>
        <w:t>环江喀斯特世界自然遗产（以下简称“环江喀斯特”）是中国南方喀斯特世界自然遗产7个片区之一，范围与</w:t>
      </w:r>
      <w:r>
        <w:rPr>
          <w:rFonts w:hint="eastAsia" w:ascii="Times New Roman" w:hAnsi="Times New Roman" w:eastAsia="仿宋_GB2312" w:cs="Times New Roman"/>
          <w:kern w:val="2"/>
          <w:sz w:val="32"/>
          <w:szCs w:val="32"/>
          <w:lang w:val="en-US" w:eastAsia="zh-CN" w:bidi="ar-SA"/>
        </w:rPr>
        <w:t>广西</w:t>
      </w:r>
      <w:r>
        <w:rPr>
          <w:rFonts w:hint="default" w:ascii="Times New Roman" w:hAnsi="Times New Roman" w:eastAsia="仿宋_GB2312" w:cs="Times New Roman"/>
          <w:kern w:val="2"/>
          <w:sz w:val="32"/>
          <w:szCs w:val="32"/>
          <w:lang w:val="en-US" w:eastAsia="zh-CN" w:bidi="ar-SA"/>
        </w:rPr>
        <w:t>木论国家级自然保护区（以下简称“木论保护区”）高度重叠。</w:t>
      </w:r>
      <w:r>
        <w:rPr>
          <w:rFonts w:hint="default" w:ascii="Times New Roman" w:hAnsi="Times New Roman" w:eastAsia="仿宋_GB2312" w:cs="Times New Roman"/>
          <w:b w:val="0"/>
          <w:bCs w:val="0"/>
          <w:kern w:val="2"/>
          <w:sz w:val="32"/>
          <w:szCs w:val="32"/>
          <w:lang w:val="en-US" w:eastAsia="zh-CN" w:bidi="ar-SA"/>
        </w:rPr>
        <w:t>环江喀斯特包括“遗产地”和“缓冲区”，其中，“环江喀斯特</w:t>
      </w:r>
      <w:r>
        <w:rPr>
          <w:rFonts w:hint="default" w:ascii="Times New Roman" w:hAnsi="Times New Roman" w:eastAsia="仿宋_GB2312" w:cs="Times New Roman"/>
          <w:kern w:val="2"/>
          <w:sz w:val="32"/>
          <w:szCs w:val="32"/>
          <w:lang w:val="en-US" w:eastAsia="zh-CN" w:bidi="ar-SA"/>
        </w:rPr>
        <w:t>遗产地”全部位于木论保护区的核心区及缓冲区，“环江喀斯特缓冲区”部分位于木论保护区缓冲区及实验区，不在保护区的部分无保护属性。</w:t>
      </w:r>
      <w:r>
        <w:rPr>
          <w:rFonts w:hint="default" w:ascii="Times New Roman" w:hAnsi="Times New Roman" w:eastAsia="仿宋_GB2312" w:cs="Times New Roman"/>
          <w:b/>
          <w:bCs/>
          <w:kern w:val="2"/>
          <w:sz w:val="32"/>
          <w:szCs w:val="32"/>
          <w:lang w:val="en-US" w:eastAsia="zh-CN" w:bidi="ar-SA"/>
        </w:rPr>
        <w:t>二是关于</w:t>
      </w:r>
      <w:r>
        <w:rPr>
          <w:rFonts w:hint="default" w:ascii="Times New Roman" w:hAnsi="Times New Roman" w:eastAsia="仿宋_GB2312" w:cs="Times New Roman"/>
          <w:b/>
          <w:bCs/>
          <w:sz w:val="32"/>
          <w:szCs w:val="32"/>
        </w:rPr>
        <w:t>喀斯特漂流小镇项目。</w:t>
      </w:r>
      <w:r>
        <w:rPr>
          <w:rFonts w:hint="default" w:ascii="Times New Roman" w:hAnsi="Times New Roman" w:eastAsia="仿宋_GB2312" w:cs="Times New Roman"/>
          <w:sz w:val="32"/>
          <w:szCs w:val="32"/>
        </w:rPr>
        <w:t>据了解，该项目业主为广西环江伟业旅游开发有限责任公司，项目拟占用环江喀斯特缓冲区古宾河流域部分用地，但因与当地居民沟通征地事宜未果，项目尚未确定建设范围，也未开展相关规划和建设，目前无法核实其与环江喀斯特的位置关系。</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kern w:val="2"/>
          <w:sz w:val="32"/>
          <w:szCs w:val="32"/>
          <w:lang w:val="en-US" w:eastAsia="zh-CN" w:bidi="ar-SA"/>
        </w:rPr>
        <w:t>是关于</w:t>
      </w:r>
      <w:r>
        <w:rPr>
          <w:rFonts w:hint="default" w:ascii="Times New Roman" w:hAnsi="Times New Roman" w:eastAsia="仿宋_GB2312" w:cs="Times New Roman"/>
          <w:b/>
          <w:bCs/>
          <w:sz w:val="32"/>
          <w:szCs w:val="32"/>
        </w:rPr>
        <w:t>环江喀斯特世界自然遗产展示馆及遗产保护工程项目。</w:t>
      </w:r>
      <w:r>
        <w:rPr>
          <w:rFonts w:hint="default" w:ascii="Times New Roman" w:hAnsi="Times New Roman" w:eastAsia="仿宋_GB2312" w:cs="Times New Roman"/>
          <w:sz w:val="32"/>
          <w:szCs w:val="32"/>
        </w:rPr>
        <w:t>据了解，</w:t>
      </w:r>
      <w:r>
        <w:rPr>
          <w:rFonts w:hint="eastAsia" w:eastAsia="仿宋_GB2312"/>
          <w:sz w:val="32"/>
          <w:szCs w:val="32"/>
          <w:lang w:val="en-US" w:eastAsia="zh-CN"/>
        </w:rPr>
        <w:t>“环江世界自然遗产地保护工程”是环江县国民经济和社会发展“十四五”规划中优化旅游发展环境的重点项目之一，该项目包括</w:t>
      </w:r>
      <w:r>
        <w:rPr>
          <w:rFonts w:hint="eastAsia" w:eastAsia="仿宋_GB2312"/>
          <w:sz w:val="32"/>
          <w:szCs w:val="32"/>
        </w:rPr>
        <w:t>“环江喀斯特世界自然遗产展示园”</w:t>
      </w:r>
      <w:r>
        <w:rPr>
          <w:rFonts w:hint="eastAsia" w:eastAsia="仿宋_GB2312"/>
          <w:sz w:val="32"/>
          <w:szCs w:val="32"/>
          <w:lang w:val="en-US" w:eastAsia="zh-CN"/>
        </w:rPr>
        <w:t>。</w:t>
      </w:r>
      <w:r>
        <w:rPr>
          <w:rFonts w:hint="default" w:ascii="Times New Roman" w:hAnsi="Times New Roman" w:eastAsia="仿宋_GB2312" w:cs="Times New Roman"/>
          <w:sz w:val="32"/>
          <w:szCs w:val="32"/>
        </w:rPr>
        <w:t>第486号代表建议的环江喀斯特世界自然遗产展示馆及遗产保护工程与环江喀斯特世界自然遗产展示园项目建设内容基本一致。</w:t>
      </w:r>
      <w:r>
        <w:rPr>
          <w:rFonts w:hint="eastAsia" w:eastAsia="仿宋_GB2312"/>
          <w:sz w:val="32"/>
          <w:szCs w:val="32"/>
          <w:lang w:val="en-US" w:eastAsia="zh-CN"/>
        </w:rPr>
        <w:t>遗产展示园的</w:t>
      </w:r>
      <w:r>
        <w:rPr>
          <w:rFonts w:hint="default" w:ascii="Times New Roman" w:hAnsi="Times New Roman" w:eastAsia="仿宋_GB2312" w:cs="Times New Roman"/>
          <w:sz w:val="32"/>
          <w:szCs w:val="32"/>
        </w:rPr>
        <w:t>主要建设内容中，遗产展示馆、珍稀植物园、游客中心拟设在环江县城区，不涉及环江喀斯特范围；生态标识牌、黔桂汉代古道修复、下在观景台（含登山木栈道6.5公里）位于环江喀斯特缓冲区，黔桂汉代古道修复的部分路段同时位于木论保护区实验区。根据《中国南方喀斯特保护管理规划——环江喀斯特》分区块管控要求，环江喀斯特位于木论保护区内的部分优先按照《中华人民共和国自然保护区条例》的要求进行管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不在木论保护区内的</w:t>
      </w:r>
      <w:r>
        <w:rPr>
          <w:rFonts w:hint="default" w:ascii="Times New Roman" w:hAnsi="Times New Roman" w:eastAsia="仿宋_GB2312" w:cs="Times New Roman"/>
          <w:sz w:val="32"/>
          <w:szCs w:val="32"/>
          <w:lang w:eastAsia="zh-CN"/>
        </w:rPr>
        <w:t>环江喀斯特缓冲区</w:t>
      </w:r>
      <w:r>
        <w:rPr>
          <w:rFonts w:hint="default" w:ascii="Times New Roman" w:hAnsi="Times New Roman" w:eastAsia="仿宋_GB2312" w:cs="Times New Roman"/>
          <w:sz w:val="32"/>
          <w:szCs w:val="32"/>
        </w:rPr>
        <w:t>，可“利用其自然、地理、社会经济等各方面条件，在保护的同时开展适度的森林植被保护与恢复、科学实验、教学实习、宣传教育、参观考察、生态旅游、经济资源综合利用”。由于该项目尚未开展相关建设，后续的规划及用地审批应严格按照木论保护区和环江喀斯特的分区管控要求开展。</w:t>
      </w:r>
      <w:r>
        <w:rPr>
          <w:rFonts w:hint="default" w:ascii="Times New Roman" w:hAnsi="Times New Roman" w:eastAsia="仿宋_GB2312" w:cs="Times New Roman"/>
          <w:b/>
          <w:bCs/>
          <w:sz w:val="32"/>
          <w:szCs w:val="32"/>
          <w:lang w:eastAsia="zh-CN"/>
        </w:rPr>
        <w:t>四是</w:t>
      </w:r>
      <w:r>
        <w:rPr>
          <w:rFonts w:hint="default" w:ascii="Times New Roman" w:hAnsi="Times New Roman" w:eastAsia="仿宋_GB2312" w:cs="Times New Roman"/>
          <w:b/>
          <w:bCs/>
          <w:kern w:val="2"/>
          <w:sz w:val="32"/>
          <w:szCs w:val="32"/>
          <w:lang w:val="en-US" w:eastAsia="zh-CN" w:bidi="ar-SA"/>
        </w:rPr>
        <w:t>履职情况方面。</w:t>
      </w:r>
      <w:r>
        <w:rPr>
          <w:rFonts w:hint="default" w:ascii="Times New Roman" w:hAnsi="Times New Roman" w:eastAsia="仿宋_GB2312" w:cs="Times New Roman"/>
          <w:kern w:val="2"/>
          <w:sz w:val="32"/>
          <w:szCs w:val="32"/>
          <w:lang w:val="en-US" w:eastAsia="zh-CN" w:bidi="ar-SA"/>
        </w:rPr>
        <w:t>自新一轮机构改革后，</w:t>
      </w:r>
      <w:r>
        <w:rPr>
          <w:rFonts w:hint="default" w:ascii="Times New Roman" w:hAnsi="Times New Roman" w:eastAsia="仿宋_GB2312" w:cs="Times New Roman"/>
          <w:kern w:val="2"/>
          <w:sz w:val="32"/>
          <w:szCs w:val="36"/>
          <w:lang w:val="en-US" w:eastAsia="zh-CN" w:bidi="ar-SA"/>
        </w:rPr>
        <w:t>依据《世界遗产公约》和相关规定</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6"/>
          <w:lang w:val="en-US" w:eastAsia="zh-CN" w:bidi="ar-SA"/>
        </w:rPr>
        <w:t>我</w:t>
      </w:r>
      <w:r>
        <w:rPr>
          <w:rFonts w:hint="eastAsia" w:ascii="Times New Roman" w:hAnsi="Times New Roman" w:eastAsia="仿宋_GB2312" w:cs="Times New Roman"/>
          <w:kern w:val="2"/>
          <w:sz w:val="32"/>
          <w:szCs w:val="36"/>
          <w:lang w:val="en-US" w:eastAsia="zh-CN" w:bidi="ar-SA"/>
        </w:rPr>
        <w:t>局</w:t>
      </w:r>
      <w:r>
        <w:rPr>
          <w:rFonts w:hint="default" w:ascii="Times New Roman" w:hAnsi="Times New Roman" w:eastAsia="仿宋_GB2312" w:cs="Times New Roman"/>
          <w:kern w:val="2"/>
          <w:sz w:val="32"/>
          <w:szCs w:val="32"/>
          <w:lang w:val="en-US" w:eastAsia="zh-CN" w:bidi="ar-SA"/>
        </w:rPr>
        <w:t>严格审核环江喀斯特的各类重大建设项目；积极支持环江县制定《环江毛南族自治县喀斯特世界自然遗产保护条例》；落实2022年中央财政林业改革发展资金600万</w:t>
      </w:r>
      <w:r>
        <w:rPr>
          <w:rFonts w:hint="eastAsia" w:ascii="Times New Roman" w:hAnsi="Times New Roman" w:eastAsia="仿宋_GB2312" w:cs="Times New Roman"/>
          <w:kern w:val="2"/>
          <w:sz w:val="32"/>
          <w:szCs w:val="32"/>
          <w:lang w:val="en-US" w:eastAsia="zh-CN" w:bidi="ar-SA"/>
        </w:rPr>
        <w:t>元</w:t>
      </w:r>
      <w:r>
        <w:rPr>
          <w:rFonts w:hint="default" w:ascii="Times New Roman" w:hAnsi="Times New Roman" w:eastAsia="仿宋_GB2312" w:cs="Times New Roman"/>
          <w:kern w:val="2"/>
          <w:sz w:val="32"/>
          <w:szCs w:val="32"/>
          <w:lang w:val="en-US" w:eastAsia="zh-CN" w:bidi="ar-SA"/>
        </w:rPr>
        <w:t>用于木论保护区宣教工程建设，助力打造环江喀斯特品牌。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eastAsia="黑体" w:cs="Times New Roman"/>
          <w:b w:val="0"/>
          <w:bCs w:val="0"/>
          <w:sz w:val="32"/>
          <w:szCs w:val="32"/>
          <w:lang w:val="en-US" w:eastAsia="zh-CN"/>
        </w:rPr>
      </w:pPr>
      <w:r>
        <w:rPr>
          <w:rFonts w:hint="eastAsia" w:eastAsia="黑体" w:cs="Times New Roman"/>
          <w:b w:val="0"/>
          <w:bCs w:val="0"/>
          <w:sz w:val="32"/>
          <w:szCs w:val="32"/>
          <w:lang w:val="en-US" w:eastAsia="zh-CN"/>
        </w:rPr>
        <w:t>三、</w:t>
      </w:r>
      <w:r>
        <w:rPr>
          <w:rFonts w:hint="default" w:eastAsia="黑体" w:cs="Times New Roman"/>
          <w:b w:val="0"/>
          <w:bCs w:val="0"/>
          <w:sz w:val="32"/>
          <w:szCs w:val="32"/>
          <w:lang w:val="en-US" w:eastAsia="zh-CN"/>
        </w:rPr>
        <w:t>关于支持将环江</w:t>
      </w:r>
      <w:r>
        <w:rPr>
          <w:rFonts w:hint="eastAsia" w:eastAsia="黑体" w:cs="Times New Roman"/>
          <w:b w:val="0"/>
          <w:bCs w:val="0"/>
          <w:sz w:val="32"/>
          <w:szCs w:val="32"/>
          <w:lang w:val="en-US" w:eastAsia="zh-CN"/>
        </w:rPr>
        <w:t>县</w:t>
      </w:r>
      <w:r>
        <w:rPr>
          <w:rFonts w:hint="default" w:eastAsia="黑体" w:cs="Times New Roman"/>
          <w:b w:val="0"/>
          <w:bCs w:val="0"/>
          <w:sz w:val="32"/>
          <w:szCs w:val="32"/>
          <w:lang w:val="en-US" w:eastAsia="zh-CN"/>
        </w:rPr>
        <w:t>列为碳汇交易试点县的建议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结合《广西壮族自治区人民政府办公厅关于印发支持河池市建设绿色发展先行试验区的指导意见》（桂政办发〔2022〕30号）</w:t>
      </w:r>
      <w:r>
        <w:rPr>
          <w:rFonts w:hint="eastAsia" w:ascii="Times New Roman" w:hAnsi="Times New Roman" w:eastAsia="仿宋_GB2312" w:cs="Times New Roman"/>
          <w:kern w:val="2"/>
          <w:sz w:val="32"/>
          <w:szCs w:val="32"/>
          <w:lang w:val="en-US" w:eastAsia="zh-CN" w:bidi="ar-SA"/>
        </w:rPr>
        <w:t>精神</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我局</w:t>
      </w:r>
      <w:r>
        <w:rPr>
          <w:rFonts w:hint="default" w:ascii="Times New Roman" w:hAnsi="Times New Roman" w:eastAsia="仿宋_GB2312" w:cs="Times New Roman"/>
          <w:kern w:val="2"/>
          <w:sz w:val="32"/>
          <w:szCs w:val="32"/>
          <w:lang w:val="en-US" w:eastAsia="zh-CN" w:bidi="ar-SA"/>
        </w:rPr>
        <w:t>于2022年5月9日召开了第6次局务会，专题研究“将河池市作为林业碳汇试点”问题，同意将河池市</w:t>
      </w:r>
      <w:r>
        <w:rPr>
          <w:rFonts w:hint="eastAsia" w:ascii="Times New Roman" w:hAnsi="Times New Roman" w:eastAsia="仿宋_GB2312" w:cs="Times New Roman"/>
          <w:kern w:val="2"/>
          <w:sz w:val="32"/>
          <w:szCs w:val="32"/>
          <w:lang w:val="en-US" w:eastAsia="zh-CN" w:bidi="ar-SA"/>
        </w:rPr>
        <w:t>作为林业碳汇试点市，并将</w:t>
      </w:r>
      <w:r>
        <w:rPr>
          <w:rFonts w:hint="default" w:ascii="Times New Roman" w:hAnsi="Times New Roman" w:eastAsia="仿宋_GB2312" w:cs="Times New Roman"/>
          <w:kern w:val="2"/>
          <w:sz w:val="32"/>
          <w:szCs w:val="32"/>
          <w:lang w:val="en-US" w:eastAsia="zh-CN" w:bidi="ar-SA"/>
        </w:rPr>
        <w:t>环江县</w:t>
      </w:r>
      <w:r>
        <w:rPr>
          <w:rFonts w:hint="eastAsia" w:ascii="Times New Roman" w:hAnsi="Times New Roman" w:eastAsia="仿宋_GB2312" w:cs="Times New Roman"/>
          <w:kern w:val="2"/>
          <w:sz w:val="32"/>
          <w:szCs w:val="32"/>
          <w:lang w:val="en-US" w:eastAsia="zh-CN" w:bidi="ar-SA"/>
        </w:rPr>
        <w:t>列</w:t>
      </w:r>
      <w:r>
        <w:rPr>
          <w:rFonts w:hint="default" w:ascii="Times New Roman" w:hAnsi="Times New Roman" w:eastAsia="仿宋_GB2312" w:cs="Times New Roman"/>
          <w:kern w:val="2"/>
          <w:sz w:val="32"/>
          <w:szCs w:val="32"/>
          <w:lang w:val="en-US" w:eastAsia="zh-CN" w:bidi="ar-SA"/>
        </w:rPr>
        <w:t>为全区林业碳票试点县，参照福建</w:t>
      </w:r>
      <w:r>
        <w:rPr>
          <w:rFonts w:hint="eastAsia" w:ascii="Times New Roman" w:hAnsi="Times New Roman" w:eastAsia="仿宋_GB2312" w:cs="Times New Roman"/>
          <w:kern w:val="2"/>
          <w:sz w:val="32"/>
          <w:szCs w:val="32"/>
          <w:lang w:val="en-US" w:eastAsia="zh-CN" w:bidi="ar-SA"/>
        </w:rPr>
        <w:t>省</w:t>
      </w:r>
      <w:r>
        <w:rPr>
          <w:rFonts w:hint="default" w:ascii="Times New Roman" w:hAnsi="Times New Roman" w:eastAsia="仿宋_GB2312" w:cs="Times New Roman"/>
          <w:kern w:val="2"/>
          <w:sz w:val="32"/>
          <w:szCs w:val="32"/>
          <w:lang w:val="en-US" w:eastAsia="zh-CN" w:bidi="ar-SA"/>
        </w:rPr>
        <w:t>三明市</w:t>
      </w:r>
      <w:r>
        <w:rPr>
          <w:rFonts w:hint="eastAsia" w:eastAsia="仿宋_GB2312" w:cs="Times New Roman"/>
          <w:kern w:val="2"/>
          <w:sz w:val="32"/>
          <w:szCs w:val="32"/>
          <w:lang w:val="en-US" w:eastAsia="zh-CN" w:bidi="ar-SA"/>
        </w:rPr>
        <w:t>等地</w:t>
      </w:r>
      <w:r>
        <w:rPr>
          <w:rFonts w:hint="default" w:ascii="Times New Roman" w:hAnsi="Times New Roman" w:eastAsia="仿宋_GB2312" w:cs="Times New Roman"/>
          <w:kern w:val="2"/>
          <w:sz w:val="32"/>
          <w:szCs w:val="32"/>
          <w:lang w:val="en-US" w:eastAsia="zh-CN" w:bidi="ar-SA"/>
        </w:rPr>
        <w:t>的经验做法，开展林业碳票试点，探索林业碳汇等生态产品价值实现机制</w:t>
      </w:r>
      <w:r>
        <w:rPr>
          <w:rFonts w:hint="eastAsia" w:eastAsia="仿宋_GB2312" w:cs="Times New Roman"/>
          <w:kern w:val="2"/>
          <w:sz w:val="32"/>
          <w:szCs w:val="32"/>
          <w:lang w:val="en-US" w:eastAsia="zh-CN" w:bidi="ar-SA"/>
        </w:rPr>
        <w:t>，目前正在制定林业碳票试点工作方案。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eastAsia="黑体" w:cs="Times New Roman"/>
          <w:b w:val="0"/>
          <w:bCs w:val="0"/>
          <w:sz w:val="32"/>
          <w:szCs w:val="32"/>
          <w:lang w:val="en-US" w:eastAsia="zh-CN"/>
        </w:rPr>
      </w:pPr>
      <w:r>
        <w:rPr>
          <w:rFonts w:hint="eastAsia" w:eastAsia="黑体" w:cs="Times New Roman"/>
          <w:b w:val="0"/>
          <w:bCs w:val="0"/>
          <w:sz w:val="32"/>
          <w:szCs w:val="32"/>
          <w:lang w:val="en-US" w:eastAsia="zh-CN"/>
        </w:rPr>
        <w:t>四</w:t>
      </w:r>
      <w:r>
        <w:rPr>
          <w:rFonts w:hint="default" w:eastAsia="黑体" w:cs="Times New Roman"/>
          <w:b w:val="0"/>
          <w:bCs w:val="0"/>
          <w:sz w:val="32"/>
          <w:szCs w:val="32"/>
          <w:lang w:val="en-US" w:eastAsia="zh-CN"/>
        </w:rPr>
        <w:t>、下一步工作</w:t>
      </w:r>
      <w:r>
        <w:rPr>
          <w:rFonts w:hint="eastAsia" w:eastAsia="黑体" w:cs="Times New Roman"/>
          <w:b w:val="0"/>
          <w:bCs w:val="0"/>
          <w:sz w:val="32"/>
          <w:szCs w:val="32"/>
          <w:lang w:val="en-US" w:eastAsia="zh-CN"/>
        </w:rPr>
        <w:t>措施</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w:t>
      </w:r>
      <w:r>
        <w:rPr>
          <w:rFonts w:hint="eastAsia"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lang w:val="en-US" w:eastAsia="zh-CN"/>
        </w:rPr>
        <w:t>）持续</w:t>
      </w:r>
      <w:r>
        <w:rPr>
          <w:rFonts w:hint="eastAsia" w:ascii="Times New Roman" w:hAnsi="Times New Roman" w:eastAsia="楷体_GB2312" w:cs="Times New Roman"/>
          <w:color w:val="auto"/>
          <w:sz w:val="32"/>
          <w:szCs w:val="32"/>
          <w:lang w:val="en-US" w:eastAsia="zh-CN"/>
        </w:rPr>
        <w:t>支持巩固脱贫成果和全面推进</w:t>
      </w:r>
      <w:r>
        <w:rPr>
          <w:rFonts w:hint="default" w:ascii="Times New Roman" w:hAnsi="Times New Roman" w:eastAsia="楷体_GB2312" w:cs="Times New Roman"/>
          <w:color w:val="auto"/>
          <w:sz w:val="32"/>
          <w:szCs w:val="32"/>
          <w:lang w:val="en-US" w:eastAsia="zh-CN"/>
        </w:rPr>
        <w:t>乡村振兴。</w:t>
      </w:r>
      <w:r>
        <w:rPr>
          <w:rFonts w:hint="default" w:ascii="Times New Roman" w:hAnsi="Times New Roman" w:eastAsia="仿宋_GB2312" w:cs="Times New Roman"/>
          <w:color w:val="auto"/>
          <w:sz w:val="32"/>
          <w:szCs w:val="32"/>
          <w:lang w:val="en-US" w:eastAsia="zh-CN"/>
        </w:rPr>
        <w:t>持续将政策、资金、项目、人才等资源要素向环江县倾斜，支持6个定点帮扶村实施特色产业、稳岗就业、人居环境、基础设施、公共服务等五大提升行动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推动毛南山乡产业高质高效、乡村宜居宜业、农民富裕富足，与环江县携手打造乡村全面振兴精品样板。</w:t>
      </w:r>
    </w:p>
    <w:p>
      <w:pPr>
        <w:pStyle w:val="1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Cs w:val="36"/>
        </w:rPr>
      </w:pPr>
      <w:r>
        <w:rPr>
          <w:rFonts w:hint="default" w:ascii="Times New Roman" w:hAnsi="Times New Roman" w:eastAsia="楷体_GB2312" w:cs="Times New Roman"/>
          <w:color w:val="auto"/>
          <w:kern w:val="2"/>
          <w:sz w:val="32"/>
          <w:szCs w:val="32"/>
          <w:lang w:val="en-US" w:eastAsia="zh-CN" w:bidi="ar-SA"/>
        </w:rPr>
        <w:t>（</w:t>
      </w:r>
      <w:r>
        <w:rPr>
          <w:rFonts w:hint="eastAsia" w:cs="Times New Roman"/>
          <w:color w:val="auto"/>
          <w:kern w:val="2"/>
          <w:sz w:val="32"/>
          <w:szCs w:val="32"/>
          <w:lang w:val="en-US" w:eastAsia="zh-CN" w:bidi="ar-SA"/>
        </w:rPr>
        <w:t>二</w:t>
      </w:r>
      <w:r>
        <w:rPr>
          <w:rFonts w:hint="default" w:ascii="Times New Roman" w:hAnsi="Times New Roman" w:eastAsia="楷体_GB2312" w:cs="Times New Roman"/>
          <w:color w:val="auto"/>
          <w:kern w:val="2"/>
          <w:sz w:val="32"/>
          <w:szCs w:val="32"/>
          <w:lang w:val="en-US" w:eastAsia="zh-CN" w:bidi="ar-SA"/>
        </w:rPr>
        <w:t>）持续强化世界自然遗产地监督管理。</w:t>
      </w:r>
      <w:r>
        <w:rPr>
          <w:rFonts w:hint="default" w:ascii="Times New Roman" w:hAnsi="Times New Roman" w:eastAsia="仿宋_GB2312" w:cs="Times New Roman"/>
          <w:szCs w:val="32"/>
        </w:rPr>
        <w:t>贯彻落实《世界遗产公约》《中国南方喀斯特世界自然遗产地保护管理规划》以及自然保护地相关法律法规，切实做好世界自然遗产地的保护管理工作。加强源头管控，</w:t>
      </w:r>
      <w:r>
        <w:rPr>
          <w:rFonts w:hint="default" w:ascii="Times New Roman" w:hAnsi="Times New Roman" w:eastAsia="仿宋_GB2312" w:cs="Times New Roman"/>
          <w:szCs w:val="36"/>
        </w:rPr>
        <w:t>严格世界自然遗产地建设项目准入审批</w:t>
      </w:r>
      <w:r>
        <w:rPr>
          <w:rFonts w:hint="eastAsia" w:ascii="Times New Roman" w:hAnsi="Times New Roman" w:eastAsia="仿宋_GB2312" w:cs="Times New Roman"/>
          <w:szCs w:val="36"/>
          <w:lang w:eastAsia="zh-CN"/>
        </w:rPr>
        <w:t>，</w:t>
      </w:r>
      <w:r>
        <w:rPr>
          <w:rFonts w:hint="default" w:ascii="Times New Roman" w:hAnsi="Times New Roman" w:eastAsia="仿宋_GB2312" w:cs="Times New Roman"/>
          <w:szCs w:val="36"/>
        </w:rPr>
        <w:t>跟踪环江喀斯特保护管理专项法规制定和实施。</w:t>
      </w:r>
    </w:p>
    <w:p>
      <w:pPr>
        <w:pStyle w:val="1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Cs w:val="36"/>
        </w:rPr>
      </w:pPr>
      <w:r>
        <w:rPr>
          <w:rFonts w:hint="default" w:ascii="Times New Roman" w:hAnsi="Times New Roman" w:eastAsia="楷体_GB2312" w:cs="Times New Roman"/>
          <w:color w:val="auto"/>
          <w:kern w:val="2"/>
          <w:sz w:val="32"/>
          <w:szCs w:val="32"/>
          <w:lang w:val="en-US" w:eastAsia="zh-CN" w:bidi="ar-SA"/>
        </w:rPr>
        <w:t>（</w:t>
      </w:r>
      <w:r>
        <w:rPr>
          <w:rFonts w:hint="eastAsia" w:cs="Times New Roman"/>
          <w:color w:val="auto"/>
          <w:kern w:val="2"/>
          <w:sz w:val="32"/>
          <w:szCs w:val="32"/>
          <w:lang w:val="en-US" w:eastAsia="zh-CN" w:bidi="ar-SA"/>
        </w:rPr>
        <w:t>三</w:t>
      </w:r>
      <w:r>
        <w:rPr>
          <w:rFonts w:hint="default" w:ascii="Times New Roman" w:hAnsi="Times New Roman" w:eastAsia="楷体_GB2312" w:cs="Times New Roman"/>
          <w:color w:val="auto"/>
          <w:kern w:val="2"/>
          <w:sz w:val="32"/>
          <w:szCs w:val="32"/>
          <w:lang w:val="en-US" w:eastAsia="zh-CN" w:bidi="ar-SA"/>
        </w:rPr>
        <w:t>）支持木论保护区和环江喀斯特协同发展。</w:t>
      </w:r>
      <w:r>
        <w:rPr>
          <w:rFonts w:hint="default" w:ascii="Times New Roman" w:hAnsi="Times New Roman" w:eastAsia="仿宋_GB2312" w:cs="Times New Roman"/>
          <w:szCs w:val="32"/>
        </w:rPr>
        <w:t>继续支持木论保护区综合能力建设，统筹木论保护区和环江喀斯特的保护管理工作，在确保自然保护区森林资源和</w:t>
      </w:r>
      <w:r>
        <w:rPr>
          <w:rFonts w:hint="default" w:ascii="Times New Roman" w:hAnsi="Times New Roman" w:eastAsia="仿宋_GB2312" w:cs="Times New Roman"/>
          <w:szCs w:val="32"/>
          <w:lang w:val="en-US" w:eastAsia="zh-CN"/>
        </w:rPr>
        <w:t>其他</w:t>
      </w:r>
      <w:r>
        <w:rPr>
          <w:rFonts w:hint="default" w:ascii="Times New Roman" w:hAnsi="Times New Roman" w:eastAsia="仿宋_GB2312" w:cs="Times New Roman"/>
          <w:szCs w:val="32"/>
        </w:rPr>
        <w:t>自然资源得到有效保护的前提下，依法依规加大对环江喀斯特在遗产地展示、宣传教育、社区发展、</w:t>
      </w:r>
      <w:r>
        <w:rPr>
          <w:rFonts w:hint="default" w:ascii="Times New Roman" w:hAnsi="Times New Roman" w:eastAsia="仿宋_GB2312" w:cs="Times New Roman"/>
          <w:szCs w:val="36"/>
        </w:rPr>
        <w:t>科学研究等方面的支持。</w:t>
      </w:r>
    </w:p>
    <w:p>
      <w:pPr>
        <w:pStyle w:val="1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Cs w:val="36"/>
          <w:lang w:eastAsia="zh-CN"/>
        </w:rPr>
        <w:t>（</w:t>
      </w:r>
      <w:r>
        <w:rPr>
          <w:rFonts w:hint="eastAsia" w:cs="Times New Roman"/>
          <w:color w:val="auto"/>
          <w:kern w:val="2"/>
          <w:sz w:val="32"/>
          <w:szCs w:val="32"/>
          <w:lang w:val="en-US" w:eastAsia="zh-CN" w:bidi="ar-SA"/>
        </w:rPr>
        <w:t>四</w:t>
      </w:r>
      <w:r>
        <w:rPr>
          <w:rFonts w:hint="default" w:ascii="Times New Roman" w:hAnsi="Times New Roman" w:eastAsia="楷体_GB2312" w:cs="Times New Roman"/>
          <w:color w:val="auto"/>
          <w:kern w:val="2"/>
          <w:sz w:val="32"/>
          <w:szCs w:val="32"/>
          <w:lang w:val="en-US" w:eastAsia="zh-CN" w:bidi="ar-SA"/>
        </w:rPr>
        <w:t>）</w:t>
      </w:r>
      <w:r>
        <w:rPr>
          <w:rFonts w:hint="default" w:ascii="Times New Roman" w:hAnsi="Times New Roman" w:eastAsia="楷体_GB2312" w:cs="Times New Roman"/>
          <w:b w:val="0"/>
          <w:bCs w:val="0"/>
          <w:sz w:val="32"/>
          <w:szCs w:val="32"/>
        </w:rPr>
        <w:t>切实做好对</w:t>
      </w:r>
      <w:r>
        <w:rPr>
          <w:rFonts w:hint="default" w:ascii="Times New Roman" w:hAnsi="Times New Roman" w:eastAsia="楷体_GB2312" w:cs="Times New Roman"/>
          <w:b w:val="0"/>
          <w:bCs w:val="0"/>
          <w:sz w:val="32"/>
          <w:szCs w:val="32"/>
          <w:lang w:eastAsia="zh-CN"/>
        </w:rPr>
        <w:t>河池市林业碳汇试点工作</w:t>
      </w:r>
      <w:r>
        <w:rPr>
          <w:rFonts w:hint="default" w:ascii="Times New Roman" w:hAnsi="Times New Roman" w:eastAsia="楷体_GB2312" w:cs="Times New Roman"/>
          <w:b w:val="0"/>
          <w:bCs w:val="0"/>
          <w:sz w:val="32"/>
          <w:szCs w:val="32"/>
        </w:rPr>
        <w:t>的技术指导</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开展林业碳汇政策和相关技术管理调研，</w:t>
      </w:r>
      <w:r>
        <w:rPr>
          <w:rFonts w:hint="default" w:ascii="Times New Roman" w:hAnsi="Times New Roman" w:eastAsia="仿宋_GB2312" w:cs="Times New Roman"/>
          <w:sz w:val="32"/>
          <w:szCs w:val="32"/>
          <w:lang w:eastAsia="zh-CN"/>
        </w:rPr>
        <w:t>学习研究福建三明、贵州毕节、安徽滁州、陕西咸阳和榆林等外省</w:t>
      </w:r>
      <w:r>
        <w:rPr>
          <w:rFonts w:hint="default" w:ascii="Times New Roman" w:hAnsi="Times New Roman" w:eastAsia="仿宋_GB2312" w:cs="Times New Roman"/>
          <w:color w:val="auto"/>
          <w:sz w:val="32"/>
          <w:szCs w:val="32"/>
        </w:rPr>
        <w:t>林业碳票</w:t>
      </w:r>
      <w:r>
        <w:rPr>
          <w:rFonts w:hint="default" w:ascii="Times New Roman" w:hAnsi="Times New Roman" w:eastAsia="仿宋_GB2312" w:cs="Times New Roman"/>
          <w:sz w:val="32"/>
          <w:szCs w:val="32"/>
          <w:lang w:eastAsia="zh-CN"/>
        </w:rPr>
        <w:t>的机制建立和体系设置，指导河池市制定林业碳票管理办法（试行），</w:t>
      </w:r>
      <w:r>
        <w:rPr>
          <w:rFonts w:hint="default" w:ascii="Times New Roman" w:hAnsi="Times New Roman" w:eastAsia="仿宋_GB2312" w:cs="Times New Roman"/>
          <w:sz w:val="32"/>
          <w:szCs w:val="32"/>
        </w:rPr>
        <w:t>加快推进广西林业碳汇试点工作并取得实效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我局将持续关注环江县经济社会发展涉林工作，指导和督促属地市、县林业主管部门认真履行工作职责，认真做好相关工作，全力推动环江县经济社会高质量发展。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仿宋_GB2312" w:hAnsi="仿宋" w:eastAsia="仿宋_GB2312"/>
          <w:sz w:val="32"/>
          <w:szCs w:val="32"/>
          <w:lang w:eastAsia="zh-CN"/>
        </w:rPr>
        <w:t>专此答复，诚挚感谢你们对</w:t>
      </w:r>
      <w:r>
        <w:rPr>
          <w:rFonts w:hint="eastAsia" w:hAnsi="宋体" w:eastAsia="仿宋_GB2312" w:cs="Times New Roman"/>
          <w:sz w:val="32"/>
          <w:szCs w:val="32"/>
          <w:lang w:eastAsia="zh-CN"/>
        </w:rPr>
        <w:t>自治区林业局</w:t>
      </w:r>
      <w:r>
        <w:rPr>
          <w:rFonts w:hint="eastAsia" w:ascii="仿宋_GB2312" w:hAnsi="仿宋_GB2312" w:eastAsia="仿宋_GB2312" w:cs="仿宋_GB2312"/>
          <w:sz w:val="32"/>
          <w:szCs w:val="32"/>
          <w:lang w:eastAsia="zh-CN"/>
        </w:rPr>
        <w:t>工作的关心支持。</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jc w:val="both"/>
        <w:textAlignment w:val="auto"/>
        <w:outlineLvl w:val="9"/>
        <w:rPr>
          <w:rFonts w:hint="default" w:ascii="Times New Roman" w:hAnsi="Times New Roman" w:eastAsia="仿宋_GB2312" w:cs="Times New Roman"/>
          <w:sz w:val="32"/>
          <w:szCs w:val="32"/>
          <w:lang w:val="en-US" w:eastAsia="zh-CN"/>
        </w:rPr>
      </w:pPr>
    </w:p>
    <w:p>
      <w:pPr>
        <w:numPr>
          <w:ilvl w:val="0"/>
          <w:numId w:val="0"/>
        </w:numPr>
        <w:spacing w:line="240" w:lineRule="auto"/>
        <w:ind w:firstLine="5120" w:firstLineChars="1600"/>
        <w:rPr>
          <w:rFonts w:hint="default" w:ascii="Times New Roman" w:hAnsi="Times New Roman" w:eastAsia="仿宋_GB2312" w:cs="Times New Roman"/>
          <w:sz w:val="32"/>
          <w:szCs w:val="32"/>
          <w:lang w:val="en-US" w:eastAsia="zh-CN"/>
        </w:rPr>
      </w:pPr>
      <w:bookmarkStart w:id="1" w:name="ftime2"/>
      <w:r>
        <w:rPr>
          <w:rFonts w:hint="eastAsia" w:eastAsia="仿宋_GB2312" w:cs="Times New Roman"/>
          <w:sz w:val="32"/>
          <w:szCs w:val="32"/>
          <w:lang w:val="en-US" w:eastAsia="zh-CN"/>
        </w:rPr>
        <w:t>2022年6月29日</w:t>
      </w:r>
      <w:bookmarkEnd w:id="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bookmarkStart w:id="2" w:name="_GoBack"/>
      <w:bookmarkEnd w:id="2"/>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2" w:firstLineChars="101"/>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2" w:firstLineChars="101"/>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0FD"/>
    <w:rsid w:val="00001594"/>
    <w:rsid w:val="000016E7"/>
    <w:rsid w:val="00001E3A"/>
    <w:rsid w:val="000066FE"/>
    <w:rsid w:val="000075DB"/>
    <w:rsid w:val="00030A90"/>
    <w:rsid w:val="00032DE8"/>
    <w:rsid w:val="00034AE7"/>
    <w:rsid w:val="0004315F"/>
    <w:rsid w:val="00044195"/>
    <w:rsid w:val="00074BF0"/>
    <w:rsid w:val="00075939"/>
    <w:rsid w:val="000760BD"/>
    <w:rsid w:val="00090DE1"/>
    <w:rsid w:val="000C19B0"/>
    <w:rsid w:val="000D30E8"/>
    <w:rsid w:val="000D3A69"/>
    <w:rsid w:val="000D7FD1"/>
    <w:rsid w:val="00100D8A"/>
    <w:rsid w:val="00102472"/>
    <w:rsid w:val="00103BC7"/>
    <w:rsid w:val="00105450"/>
    <w:rsid w:val="0010547F"/>
    <w:rsid w:val="001122F9"/>
    <w:rsid w:val="00122D12"/>
    <w:rsid w:val="00124BE6"/>
    <w:rsid w:val="00165021"/>
    <w:rsid w:val="00165DC4"/>
    <w:rsid w:val="00171077"/>
    <w:rsid w:val="00172ECC"/>
    <w:rsid w:val="001737DF"/>
    <w:rsid w:val="001914F4"/>
    <w:rsid w:val="001A0D46"/>
    <w:rsid w:val="001A3FFC"/>
    <w:rsid w:val="001B184B"/>
    <w:rsid w:val="001B21F5"/>
    <w:rsid w:val="001C5FCD"/>
    <w:rsid w:val="001C6D32"/>
    <w:rsid w:val="001D1665"/>
    <w:rsid w:val="001D16E6"/>
    <w:rsid w:val="001D6683"/>
    <w:rsid w:val="0020478B"/>
    <w:rsid w:val="00210526"/>
    <w:rsid w:val="00211C3F"/>
    <w:rsid w:val="00211DDF"/>
    <w:rsid w:val="0022221E"/>
    <w:rsid w:val="002257DB"/>
    <w:rsid w:val="00242722"/>
    <w:rsid w:val="00243693"/>
    <w:rsid w:val="00245AE1"/>
    <w:rsid w:val="002555C4"/>
    <w:rsid w:val="00264AEB"/>
    <w:rsid w:val="00274657"/>
    <w:rsid w:val="00274E7D"/>
    <w:rsid w:val="00284703"/>
    <w:rsid w:val="00287687"/>
    <w:rsid w:val="00290056"/>
    <w:rsid w:val="0029669E"/>
    <w:rsid w:val="002B7C95"/>
    <w:rsid w:val="002C16C6"/>
    <w:rsid w:val="002D63B1"/>
    <w:rsid w:val="002E00F2"/>
    <w:rsid w:val="002E0176"/>
    <w:rsid w:val="002F445E"/>
    <w:rsid w:val="003004B2"/>
    <w:rsid w:val="00305DEC"/>
    <w:rsid w:val="00310AAC"/>
    <w:rsid w:val="00324F12"/>
    <w:rsid w:val="003331C9"/>
    <w:rsid w:val="00335066"/>
    <w:rsid w:val="00342D45"/>
    <w:rsid w:val="00343EF1"/>
    <w:rsid w:val="00352CA0"/>
    <w:rsid w:val="00356BE7"/>
    <w:rsid w:val="00356E79"/>
    <w:rsid w:val="00356F62"/>
    <w:rsid w:val="003737AB"/>
    <w:rsid w:val="00377E31"/>
    <w:rsid w:val="003C04AB"/>
    <w:rsid w:val="003C40CC"/>
    <w:rsid w:val="003C6130"/>
    <w:rsid w:val="003E2E30"/>
    <w:rsid w:val="003E3E83"/>
    <w:rsid w:val="003F7F83"/>
    <w:rsid w:val="004032E4"/>
    <w:rsid w:val="004144A2"/>
    <w:rsid w:val="0042340D"/>
    <w:rsid w:val="0043439A"/>
    <w:rsid w:val="00435E2F"/>
    <w:rsid w:val="0043734E"/>
    <w:rsid w:val="00437FE2"/>
    <w:rsid w:val="00443361"/>
    <w:rsid w:val="004479BB"/>
    <w:rsid w:val="004510FB"/>
    <w:rsid w:val="00453A2D"/>
    <w:rsid w:val="00461962"/>
    <w:rsid w:val="004621EA"/>
    <w:rsid w:val="004652D4"/>
    <w:rsid w:val="00487E7B"/>
    <w:rsid w:val="004B1D0F"/>
    <w:rsid w:val="004B28E8"/>
    <w:rsid w:val="004B74DF"/>
    <w:rsid w:val="004C0925"/>
    <w:rsid w:val="004C787A"/>
    <w:rsid w:val="004E0F50"/>
    <w:rsid w:val="004E7A3A"/>
    <w:rsid w:val="00501687"/>
    <w:rsid w:val="00503148"/>
    <w:rsid w:val="00504710"/>
    <w:rsid w:val="00514151"/>
    <w:rsid w:val="0051486F"/>
    <w:rsid w:val="005214DB"/>
    <w:rsid w:val="00525014"/>
    <w:rsid w:val="00534B58"/>
    <w:rsid w:val="005379AE"/>
    <w:rsid w:val="00546586"/>
    <w:rsid w:val="0055795C"/>
    <w:rsid w:val="0056377B"/>
    <w:rsid w:val="005808C0"/>
    <w:rsid w:val="005841D4"/>
    <w:rsid w:val="005A02F1"/>
    <w:rsid w:val="005A09B7"/>
    <w:rsid w:val="005A71D3"/>
    <w:rsid w:val="005B23A9"/>
    <w:rsid w:val="005B6A48"/>
    <w:rsid w:val="005C4A39"/>
    <w:rsid w:val="005C4DFC"/>
    <w:rsid w:val="005D7946"/>
    <w:rsid w:val="0060399F"/>
    <w:rsid w:val="00605243"/>
    <w:rsid w:val="00624A2A"/>
    <w:rsid w:val="00643997"/>
    <w:rsid w:val="0065667E"/>
    <w:rsid w:val="006625EF"/>
    <w:rsid w:val="006802AD"/>
    <w:rsid w:val="006854C9"/>
    <w:rsid w:val="006858F9"/>
    <w:rsid w:val="006932F6"/>
    <w:rsid w:val="00694EF5"/>
    <w:rsid w:val="00696978"/>
    <w:rsid w:val="006A6529"/>
    <w:rsid w:val="006B348B"/>
    <w:rsid w:val="006C4E37"/>
    <w:rsid w:val="006C5CA2"/>
    <w:rsid w:val="006F24CE"/>
    <w:rsid w:val="006F2DF5"/>
    <w:rsid w:val="006F76A4"/>
    <w:rsid w:val="00727198"/>
    <w:rsid w:val="00735329"/>
    <w:rsid w:val="00743D15"/>
    <w:rsid w:val="00753BEC"/>
    <w:rsid w:val="007648EA"/>
    <w:rsid w:val="0076770E"/>
    <w:rsid w:val="0076799F"/>
    <w:rsid w:val="00767C69"/>
    <w:rsid w:val="00781159"/>
    <w:rsid w:val="007818D9"/>
    <w:rsid w:val="00786810"/>
    <w:rsid w:val="00793D23"/>
    <w:rsid w:val="00795C17"/>
    <w:rsid w:val="00797061"/>
    <w:rsid w:val="0079760B"/>
    <w:rsid w:val="007A0058"/>
    <w:rsid w:val="007A0125"/>
    <w:rsid w:val="007A130C"/>
    <w:rsid w:val="007B197D"/>
    <w:rsid w:val="007C11CC"/>
    <w:rsid w:val="007D31A6"/>
    <w:rsid w:val="007F5681"/>
    <w:rsid w:val="008006E6"/>
    <w:rsid w:val="008014DA"/>
    <w:rsid w:val="00802941"/>
    <w:rsid w:val="0080591F"/>
    <w:rsid w:val="008063E3"/>
    <w:rsid w:val="008132C4"/>
    <w:rsid w:val="00814658"/>
    <w:rsid w:val="00817990"/>
    <w:rsid w:val="0082022F"/>
    <w:rsid w:val="0082324F"/>
    <w:rsid w:val="00826629"/>
    <w:rsid w:val="00857F82"/>
    <w:rsid w:val="0087124A"/>
    <w:rsid w:val="00875D4F"/>
    <w:rsid w:val="00880612"/>
    <w:rsid w:val="0088214B"/>
    <w:rsid w:val="00886D47"/>
    <w:rsid w:val="00892944"/>
    <w:rsid w:val="008A5924"/>
    <w:rsid w:val="008B2331"/>
    <w:rsid w:val="008B6232"/>
    <w:rsid w:val="008C6EF3"/>
    <w:rsid w:val="008E75CF"/>
    <w:rsid w:val="008F72D5"/>
    <w:rsid w:val="00915E13"/>
    <w:rsid w:val="0092287D"/>
    <w:rsid w:val="0094394F"/>
    <w:rsid w:val="00951A0E"/>
    <w:rsid w:val="009843CB"/>
    <w:rsid w:val="00994132"/>
    <w:rsid w:val="009C3B9E"/>
    <w:rsid w:val="009C3C22"/>
    <w:rsid w:val="009C451E"/>
    <w:rsid w:val="009C780B"/>
    <w:rsid w:val="009D30A0"/>
    <w:rsid w:val="009D6EC5"/>
    <w:rsid w:val="009D7306"/>
    <w:rsid w:val="009D7744"/>
    <w:rsid w:val="009D7B29"/>
    <w:rsid w:val="009E06FD"/>
    <w:rsid w:val="009E0726"/>
    <w:rsid w:val="009E3C90"/>
    <w:rsid w:val="009E5450"/>
    <w:rsid w:val="009E7D64"/>
    <w:rsid w:val="009F4032"/>
    <w:rsid w:val="009F6EE1"/>
    <w:rsid w:val="00A0065B"/>
    <w:rsid w:val="00A21B8E"/>
    <w:rsid w:val="00A27180"/>
    <w:rsid w:val="00A31468"/>
    <w:rsid w:val="00A325FB"/>
    <w:rsid w:val="00A438E8"/>
    <w:rsid w:val="00A44BE4"/>
    <w:rsid w:val="00A711D7"/>
    <w:rsid w:val="00A75E01"/>
    <w:rsid w:val="00A761CF"/>
    <w:rsid w:val="00A87737"/>
    <w:rsid w:val="00A96B5A"/>
    <w:rsid w:val="00AA06B0"/>
    <w:rsid w:val="00AA1204"/>
    <w:rsid w:val="00AB3371"/>
    <w:rsid w:val="00AC1D71"/>
    <w:rsid w:val="00AC2489"/>
    <w:rsid w:val="00AC4DA0"/>
    <w:rsid w:val="00AD21E5"/>
    <w:rsid w:val="00AD7CBE"/>
    <w:rsid w:val="00AE11A1"/>
    <w:rsid w:val="00AE2F39"/>
    <w:rsid w:val="00AF0FD3"/>
    <w:rsid w:val="00AF69DF"/>
    <w:rsid w:val="00B0177C"/>
    <w:rsid w:val="00B026CD"/>
    <w:rsid w:val="00B02900"/>
    <w:rsid w:val="00B1156D"/>
    <w:rsid w:val="00B16AD6"/>
    <w:rsid w:val="00B16F1B"/>
    <w:rsid w:val="00B2271B"/>
    <w:rsid w:val="00B3517C"/>
    <w:rsid w:val="00B476A6"/>
    <w:rsid w:val="00B57E78"/>
    <w:rsid w:val="00B63454"/>
    <w:rsid w:val="00B657F7"/>
    <w:rsid w:val="00B750D2"/>
    <w:rsid w:val="00B76C1D"/>
    <w:rsid w:val="00B80726"/>
    <w:rsid w:val="00B8486A"/>
    <w:rsid w:val="00B907A2"/>
    <w:rsid w:val="00B918C9"/>
    <w:rsid w:val="00B943E9"/>
    <w:rsid w:val="00B96765"/>
    <w:rsid w:val="00B970AC"/>
    <w:rsid w:val="00BA4139"/>
    <w:rsid w:val="00BA7247"/>
    <w:rsid w:val="00BB35BA"/>
    <w:rsid w:val="00BB7EB1"/>
    <w:rsid w:val="00BC178C"/>
    <w:rsid w:val="00BD2305"/>
    <w:rsid w:val="00BE3059"/>
    <w:rsid w:val="00C01EED"/>
    <w:rsid w:val="00C15044"/>
    <w:rsid w:val="00C26458"/>
    <w:rsid w:val="00C51CA0"/>
    <w:rsid w:val="00C53033"/>
    <w:rsid w:val="00C54B98"/>
    <w:rsid w:val="00C61C23"/>
    <w:rsid w:val="00C660FD"/>
    <w:rsid w:val="00C7124B"/>
    <w:rsid w:val="00C80653"/>
    <w:rsid w:val="00C934B3"/>
    <w:rsid w:val="00CA0B2C"/>
    <w:rsid w:val="00CA19A7"/>
    <w:rsid w:val="00CA3005"/>
    <w:rsid w:val="00CA4788"/>
    <w:rsid w:val="00CA6EE2"/>
    <w:rsid w:val="00CC30AD"/>
    <w:rsid w:val="00CC6976"/>
    <w:rsid w:val="00CD1418"/>
    <w:rsid w:val="00CD4D16"/>
    <w:rsid w:val="00CE6F9E"/>
    <w:rsid w:val="00CF3789"/>
    <w:rsid w:val="00D064DD"/>
    <w:rsid w:val="00D20E59"/>
    <w:rsid w:val="00D21BF4"/>
    <w:rsid w:val="00D24DCA"/>
    <w:rsid w:val="00D345FE"/>
    <w:rsid w:val="00D401D8"/>
    <w:rsid w:val="00D445D0"/>
    <w:rsid w:val="00D700FC"/>
    <w:rsid w:val="00D80B34"/>
    <w:rsid w:val="00D82697"/>
    <w:rsid w:val="00D85FF5"/>
    <w:rsid w:val="00D946E1"/>
    <w:rsid w:val="00D955F2"/>
    <w:rsid w:val="00DA187B"/>
    <w:rsid w:val="00DA25AB"/>
    <w:rsid w:val="00DC3306"/>
    <w:rsid w:val="00DC4D5D"/>
    <w:rsid w:val="00DE500C"/>
    <w:rsid w:val="00DF2F44"/>
    <w:rsid w:val="00E1274D"/>
    <w:rsid w:val="00E16684"/>
    <w:rsid w:val="00E25A2B"/>
    <w:rsid w:val="00E46CC4"/>
    <w:rsid w:val="00E532BA"/>
    <w:rsid w:val="00E57B4A"/>
    <w:rsid w:val="00E6708E"/>
    <w:rsid w:val="00E7236A"/>
    <w:rsid w:val="00E726DA"/>
    <w:rsid w:val="00E810D1"/>
    <w:rsid w:val="00E82F46"/>
    <w:rsid w:val="00E84BB9"/>
    <w:rsid w:val="00E8759C"/>
    <w:rsid w:val="00EA0087"/>
    <w:rsid w:val="00EA0907"/>
    <w:rsid w:val="00EA2458"/>
    <w:rsid w:val="00EB08BC"/>
    <w:rsid w:val="00EB2D09"/>
    <w:rsid w:val="00EB315F"/>
    <w:rsid w:val="00EC06C2"/>
    <w:rsid w:val="00EC0F4F"/>
    <w:rsid w:val="00EC23E8"/>
    <w:rsid w:val="00EC5F8D"/>
    <w:rsid w:val="00EF05AB"/>
    <w:rsid w:val="00EF0D0F"/>
    <w:rsid w:val="00EF2C5D"/>
    <w:rsid w:val="00F43584"/>
    <w:rsid w:val="00F47C5C"/>
    <w:rsid w:val="00F519DA"/>
    <w:rsid w:val="00F60092"/>
    <w:rsid w:val="00F6162F"/>
    <w:rsid w:val="00F64AA6"/>
    <w:rsid w:val="00F77C77"/>
    <w:rsid w:val="00F83E6B"/>
    <w:rsid w:val="00F93148"/>
    <w:rsid w:val="00FC445D"/>
    <w:rsid w:val="00FC723F"/>
    <w:rsid w:val="00FD49C1"/>
    <w:rsid w:val="00FD6776"/>
    <w:rsid w:val="00FE2A55"/>
    <w:rsid w:val="00FE2C7E"/>
    <w:rsid w:val="00FE2F8A"/>
    <w:rsid w:val="00FE785C"/>
    <w:rsid w:val="00FE7EA3"/>
    <w:rsid w:val="00FF56C4"/>
    <w:rsid w:val="07550A10"/>
    <w:rsid w:val="18BD7689"/>
    <w:rsid w:val="1CEE2695"/>
    <w:rsid w:val="1E286CDD"/>
    <w:rsid w:val="1E366575"/>
    <w:rsid w:val="1F3C280A"/>
    <w:rsid w:val="1FD22AA0"/>
    <w:rsid w:val="2AD94E11"/>
    <w:rsid w:val="2CE9318E"/>
    <w:rsid w:val="3A83073F"/>
    <w:rsid w:val="400B4918"/>
    <w:rsid w:val="42FF15FE"/>
    <w:rsid w:val="44C41878"/>
    <w:rsid w:val="44D162F1"/>
    <w:rsid w:val="48E07838"/>
    <w:rsid w:val="4D5A0825"/>
    <w:rsid w:val="4EEEAE19"/>
    <w:rsid w:val="500C3534"/>
    <w:rsid w:val="519C4C1A"/>
    <w:rsid w:val="553915DD"/>
    <w:rsid w:val="56E70916"/>
    <w:rsid w:val="57757573"/>
    <w:rsid w:val="60C86BE0"/>
    <w:rsid w:val="63390E83"/>
    <w:rsid w:val="6412280D"/>
    <w:rsid w:val="68E201E2"/>
    <w:rsid w:val="6B4E0BF7"/>
    <w:rsid w:val="6E4465DA"/>
    <w:rsid w:val="75482E8D"/>
    <w:rsid w:val="7A5E2DF6"/>
    <w:rsid w:val="7D992EB3"/>
    <w:rsid w:val="BDFFA5B5"/>
    <w:rsid w:val="DBFDCA7C"/>
    <w:rsid w:val="E4ED3F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uppressAutoHyphens/>
      <w:bidi w:val="0"/>
      <w:spacing w:beforeLines="50" w:afterLines="50" w:line="560" w:lineRule="exact"/>
      <w:jc w:val="center"/>
      <w:outlineLvl w:val="0"/>
    </w:pPr>
    <w:rPr>
      <w:rFonts w:ascii="方正小标宋简体" w:hAnsi="Calibri" w:eastAsia="方正小标宋简体" w:cs="Times New Roman"/>
      <w:bCs/>
      <w:color w:val="auto"/>
      <w:kern w:val="0"/>
      <w:sz w:val="44"/>
      <w:szCs w:val="44"/>
      <w:lang w:val="en-US" w:eastAsia="zh-CN" w:bidi="ar-SA"/>
    </w:rPr>
  </w:style>
  <w:style w:type="paragraph" w:styleId="2">
    <w:name w:val="heading 2"/>
    <w:basedOn w:val="1"/>
    <w:next w:val="1"/>
    <w:qFormat/>
    <w:uiPriority w:val="0"/>
    <w:pPr>
      <w:keepNext/>
      <w:keepLines/>
      <w:spacing w:line="480" w:lineRule="exact"/>
      <w:outlineLvl w:val="1"/>
    </w:pPr>
    <w:rPr>
      <w:rFonts w:ascii="Arial" w:hAnsi="Arial" w:eastAsia="黑体" w:cs="Times New Roman"/>
      <w:szCs w:val="20"/>
    </w:rPr>
  </w:style>
  <w:style w:type="character" w:default="1" w:styleId="16">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eastAsia="宋体" w:cs="Times New Roman"/>
    </w:rPr>
  </w:style>
  <w:style w:type="paragraph" w:styleId="5">
    <w:name w:val="Body Text Indent"/>
    <w:basedOn w:val="1"/>
    <w:link w:val="25"/>
    <w:qFormat/>
    <w:uiPriority w:val="0"/>
    <w:pPr>
      <w:spacing w:line="500" w:lineRule="exact"/>
      <w:ind w:firstLine="480" w:firstLineChars="200"/>
    </w:pPr>
    <w:rPr>
      <w:sz w:val="24"/>
    </w:rPr>
  </w:style>
  <w:style w:type="paragraph" w:styleId="6">
    <w:name w:val="Plain Text"/>
    <w:basedOn w:val="1"/>
    <w:link w:val="29"/>
    <w:qFormat/>
    <w:uiPriority w:val="0"/>
    <w:rPr>
      <w:rFonts w:ascii="宋体" w:hAnsi="Courier New" w:eastAsia="宋体" w:cs="Courier New"/>
      <w:szCs w:val="21"/>
    </w:rPr>
  </w:style>
  <w:style w:type="paragraph" w:styleId="7">
    <w:name w:val="Date"/>
    <w:basedOn w:val="1"/>
    <w:next w:val="1"/>
    <w:link w:val="22"/>
    <w:qFormat/>
    <w:uiPriority w:val="0"/>
    <w:pPr>
      <w:ind w:left="100" w:leftChars="2500"/>
    </w:pPr>
  </w:style>
  <w:style w:type="paragraph" w:styleId="8">
    <w:name w:val="Body Text Indent 2"/>
    <w:basedOn w:val="1"/>
    <w:qFormat/>
    <w:uiPriority w:val="0"/>
    <w:pPr>
      <w:spacing w:after="120" w:line="480" w:lineRule="auto"/>
      <w:ind w:leftChars="200"/>
    </w:pPr>
    <w:rPr>
      <w:rFonts w:ascii="Times New Roman" w:hAnsi="Times New Roman" w:eastAsia="宋体" w:cs="Times New Roman"/>
    </w:rPr>
  </w:style>
  <w:style w:type="paragraph" w:styleId="9">
    <w:name w:val="Balloon Text"/>
    <w:basedOn w:val="1"/>
    <w:link w:val="24"/>
    <w:qFormat/>
    <w:uiPriority w:val="0"/>
    <w:rPr>
      <w:sz w:val="18"/>
      <w:szCs w:val="18"/>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jc w:val="left"/>
    </w:pPr>
    <w:rPr>
      <w:rFonts w:ascii="Arial" w:hAnsi="Arial" w:eastAsia="宋体" w:cs="Arial"/>
      <w:kern w:val="0"/>
      <w:sz w:val="14"/>
      <w:szCs w:val="1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4"/>
    <w:next w:val="1"/>
    <w:qFormat/>
    <w:uiPriority w:val="0"/>
    <w:pPr>
      <w:spacing w:after="0"/>
      <w:ind w:firstLine="420"/>
    </w:pPr>
    <w:rPr>
      <w:rFonts w:eastAsia="楷体_GB2312"/>
      <w:sz w:val="32"/>
    </w:rPr>
  </w:style>
  <w:style w:type="character" w:styleId="17">
    <w:name w:val="page number"/>
    <w:basedOn w:val="16"/>
    <w:qFormat/>
    <w:uiPriority w:val="0"/>
  </w:style>
  <w:style w:type="character" w:styleId="18">
    <w:name w:val="Emphasis"/>
    <w:basedOn w:val="16"/>
    <w:qFormat/>
    <w:uiPriority w:val="0"/>
    <w:rPr>
      <w:rFonts w:ascii="Times New Roman" w:hAnsi="Times New Roman" w:eastAsia="宋体" w:cs="Times New Roman"/>
      <w:i/>
    </w:rPr>
  </w:style>
  <w:style w:type="character" w:styleId="19">
    <w:name w:val="Hyperlink"/>
    <w:qFormat/>
    <w:uiPriority w:val="0"/>
    <w:rPr>
      <w:color w:val="0000FF"/>
      <w:u w:val="single"/>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页脚 Char"/>
    <w:link w:val="10"/>
    <w:qFormat/>
    <w:uiPriority w:val="99"/>
    <w:rPr>
      <w:kern w:val="2"/>
      <w:sz w:val="18"/>
      <w:szCs w:val="18"/>
    </w:rPr>
  </w:style>
  <w:style w:type="character" w:customStyle="1" w:styleId="22">
    <w:name w:val="日期 Char"/>
    <w:link w:val="7"/>
    <w:qFormat/>
    <w:uiPriority w:val="0"/>
    <w:rPr>
      <w:kern w:val="2"/>
      <w:sz w:val="21"/>
      <w:szCs w:val="24"/>
    </w:rPr>
  </w:style>
  <w:style w:type="character" w:customStyle="1" w:styleId="23">
    <w:name w:val="页眉 Char"/>
    <w:link w:val="11"/>
    <w:qFormat/>
    <w:uiPriority w:val="0"/>
    <w:rPr>
      <w:kern w:val="2"/>
      <w:sz w:val="18"/>
      <w:szCs w:val="18"/>
    </w:rPr>
  </w:style>
  <w:style w:type="character" w:customStyle="1" w:styleId="24">
    <w:name w:val="批注框文本 Char"/>
    <w:link w:val="9"/>
    <w:qFormat/>
    <w:uiPriority w:val="0"/>
    <w:rPr>
      <w:kern w:val="2"/>
      <w:sz w:val="18"/>
      <w:szCs w:val="18"/>
    </w:rPr>
  </w:style>
  <w:style w:type="character" w:customStyle="1" w:styleId="25">
    <w:name w:val="正文文本缩进 Char"/>
    <w:link w:val="5"/>
    <w:qFormat/>
    <w:uiPriority w:val="99"/>
    <w:rPr>
      <w:rFonts w:eastAsia="宋体"/>
      <w:kern w:val="2"/>
      <w:sz w:val="24"/>
      <w:szCs w:val="24"/>
      <w:lang w:val="en-US" w:eastAsia="zh-CN" w:bidi="ar-SA"/>
    </w:rPr>
  </w:style>
  <w:style w:type="paragraph" w:customStyle="1" w:styleId="2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p0"/>
    <w:basedOn w:val="1"/>
    <w:qFormat/>
    <w:uiPriority w:val="0"/>
    <w:pPr>
      <w:widowControl/>
    </w:pPr>
    <w:rPr>
      <w:kern w:val="0"/>
      <w:szCs w:val="21"/>
    </w:rPr>
  </w:style>
  <w:style w:type="paragraph" w:styleId="28">
    <w:name w:val="List Paragraph"/>
    <w:basedOn w:val="1"/>
    <w:qFormat/>
    <w:uiPriority w:val="0"/>
    <w:pPr>
      <w:ind w:firstLine="420" w:firstLineChars="200"/>
    </w:pPr>
    <w:rPr>
      <w:rFonts w:ascii="Calibri" w:hAnsi="Calibri"/>
      <w:szCs w:val="22"/>
    </w:rPr>
  </w:style>
  <w:style w:type="character" w:customStyle="1" w:styleId="29">
    <w:name w:val="纯文本 Char"/>
    <w:link w:val="6"/>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3584</Words>
  <Characters>3669</Characters>
  <Lines>1</Lines>
  <Paragraphs>36</Paragraphs>
  <TotalTime>5</TotalTime>
  <ScaleCrop>false</ScaleCrop>
  <LinksUpToDate>false</LinksUpToDate>
  <CharactersWithSpaces>3722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2022-05-24T09:38:00Z</dcterms:created>
  <dc:creator>gxxc</dc:creator>
  <cp:lastModifiedBy>gxxc</cp:lastModifiedBy>
  <cp:lastPrinted>2022-06-30T01:50:00Z</cp:lastPrinted>
  <dcterms:modified xsi:type="dcterms:W3CDTF">2022-07-12T10:10:34Z</dcterms:modified>
  <dc:title>关于报送贯彻落实自治区党委副书记危朝安对加强生态建设与保护重要批示有关情况的函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