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color w:val="auto"/>
          <w:sz w:val="52"/>
          <w:szCs w:val="52"/>
          <w:highlight w:val="none"/>
        </w:rPr>
      </w:pPr>
    </w:p>
    <w:p>
      <w:pPr>
        <w:jc w:val="center"/>
        <w:rPr>
          <w:rFonts w:hint="eastAsia" w:ascii="宋体" w:hAnsi="宋体" w:eastAsia="宋体" w:cs="宋体"/>
          <w:color w:val="auto"/>
          <w:sz w:val="52"/>
          <w:szCs w:val="52"/>
          <w:highlight w:val="none"/>
          <w:lang w:eastAsia="zh-CN"/>
        </w:rPr>
      </w:pPr>
      <w:r>
        <w:rPr>
          <w:rFonts w:hint="eastAsia" w:ascii="宋体" w:hAnsi="宋体" w:cs="宋体"/>
          <w:color w:val="auto"/>
          <w:sz w:val="52"/>
          <w:szCs w:val="52"/>
          <w:highlight w:val="none"/>
          <w:lang w:eastAsia="zh-CN"/>
        </w:rPr>
        <w:t>南宁华鑫招标代理有限公司</w:t>
      </w:r>
    </w:p>
    <w:p>
      <w:pPr>
        <w:jc w:val="center"/>
        <w:rPr>
          <w:rFonts w:ascii="宋体" w:hAnsi="宋体" w:cs="宋体"/>
          <w:b/>
          <w:color w:val="auto"/>
          <w:sz w:val="32"/>
          <w:szCs w:val="32"/>
          <w:highlight w:val="none"/>
        </w:rPr>
      </w:pPr>
    </w:p>
    <w:p>
      <w:pPr>
        <w:jc w:val="center"/>
        <w:rPr>
          <w:color w:val="auto"/>
          <w:highlight w:val="none"/>
        </w:rPr>
      </w:pPr>
    </w:p>
    <w:p>
      <w:pPr>
        <w:jc w:val="center"/>
        <w:rPr>
          <w:rFonts w:ascii="宋体" w:hAnsi="宋体" w:cs="宋体"/>
          <w:b/>
          <w:bCs/>
          <w:color w:val="auto"/>
          <w:kern w:val="0"/>
          <w:sz w:val="30"/>
          <w:szCs w:val="30"/>
          <w:highlight w:val="none"/>
        </w:rPr>
      </w:pPr>
    </w:p>
    <w:p>
      <w:pPr>
        <w:pStyle w:val="22"/>
        <w:jc w:val="center"/>
        <w:rPr>
          <w:color w:val="auto"/>
          <w:highlight w:val="none"/>
        </w:rPr>
      </w:pPr>
    </w:p>
    <w:p>
      <w:pPr>
        <w:spacing w:before="240" w:beforeLines="100" w:after="120" w:afterLines="50"/>
        <w:jc w:val="center"/>
        <w:rPr>
          <w:rFonts w:ascii="宋体" w:hAnsi="宋体" w:cs="宋体"/>
          <w:b/>
          <w:color w:val="auto"/>
          <w:sz w:val="44"/>
          <w:szCs w:val="44"/>
          <w:highlight w:val="none"/>
        </w:rPr>
      </w:pPr>
      <w:r>
        <w:rPr>
          <w:rFonts w:hint="eastAsia" w:ascii="宋体" w:hAnsi="宋体" w:cs="宋体"/>
          <w:color w:val="auto"/>
          <w:spacing w:val="116"/>
          <w:sz w:val="52"/>
          <w:highlight w:val="none"/>
        </w:rPr>
        <w:t xml:space="preserve"> </w:t>
      </w:r>
      <w:bookmarkStart w:id="0" w:name="OLE_LINK2"/>
      <w:r>
        <w:rPr>
          <w:rFonts w:hint="eastAsia" w:ascii="宋体" w:hAnsi="宋体" w:cs="宋体"/>
          <w:b/>
          <w:bCs/>
          <w:color w:val="auto"/>
          <w:spacing w:val="100"/>
          <w:sz w:val="84"/>
          <w:szCs w:val="84"/>
          <w:highlight w:val="none"/>
        </w:rPr>
        <w:t>竞争性磋商文</w:t>
      </w:r>
      <w:r>
        <w:rPr>
          <w:rFonts w:hint="eastAsia" w:ascii="宋体" w:hAnsi="宋体" w:cs="宋体"/>
          <w:b/>
          <w:bCs/>
          <w:color w:val="auto"/>
          <w:sz w:val="84"/>
          <w:szCs w:val="84"/>
          <w:highlight w:val="none"/>
        </w:rPr>
        <w:t>件</w:t>
      </w:r>
      <w:bookmarkEnd w:id="0"/>
    </w:p>
    <w:p>
      <w:pPr>
        <w:spacing w:before="240" w:beforeLines="100" w:after="120" w:afterLines="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（全流程电子化评标）</w:t>
      </w:r>
    </w:p>
    <w:p>
      <w:pPr>
        <w:jc w:val="center"/>
        <w:rPr>
          <w:rFonts w:ascii="宋体" w:hAnsi="宋体" w:cs="宋体"/>
          <w:b/>
          <w:color w:val="auto"/>
          <w:sz w:val="32"/>
          <w:szCs w:val="32"/>
          <w:highlight w:val="none"/>
        </w:rPr>
      </w:pPr>
    </w:p>
    <w:p>
      <w:pPr>
        <w:jc w:val="center"/>
        <w:rPr>
          <w:color w:val="auto"/>
          <w:highlight w:val="none"/>
        </w:rPr>
      </w:pPr>
    </w:p>
    <w:p>
      <w:pPr>
        <w:jc w:val="center"/>
        <w:rPr>
          <w:rFonts w:ascii="宋体" w:hAnsi="宋体" w:cs="宋体"/>
          <w:b/>
          <w:bCs/>
          <w:color w:val="auto"/>
          <w:kern w:val="0"/>
          <w:sz w:val="30"/>
          <w:szCs w:val="30"/>
          <w:highlight w:val="none"/>
        </w:rPr>
      </w:pPr>
    </w:p>
    <w:p>
      <w:pPr>
        <w:pStyle w:val="22"/>
        <w:jc w:val="center"/>
        <w:rPr>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w:t>
      </w:r>
      <w:r>
        <w:rPr>
          <w:rFonts w:hint="eastAsia" w:ascii="宋体" w:hAnsi="宋体" w:cs="宋体"/>
          <w:b/>
          <w:bCs/>
          <w:color w:val="auto"/>
          <w:w w:val="95"/>
          <w:kern w:val="0"/>
          <w:sz w:val="30"/>
          <w:szCs w:val="30"/>
          <w:highlight w:val="none"/>
        </w:rPr>
        <w:t>名称</w:t>
      </w:r>
      <w:r>
        <w:rPr>
          <w:rFonts w:hint="eastAsia" w:ascii="宋体" w:hAnsi="宋体" w:cs="宋体"/>
          <w:b/>
          <w:bCs/>
          <w:color w:val="auto"/>
          <w:kern w:val="0"/>
          <w:sz w:val="30"/>
          <w:szCs w:val="30"/>
          <w:highlight w:val="none"/>
        </w:rPr>
        <w:t>：</w:t>
      </w:r>
      <w:bookmarkStart w:id="1" w:name="OLE_LINK1"/>
      <w:r>
        <w:rPr>
          <w:rFonts w:hint="eastAsia" w:ascii="宋体" w:hAnsi="宋体" w:cs="宋体"/>
          <w:b/>
          <w:bCs/>
          <w:color w:val="auto"/>
          <w:kern w:val="0"/>
          <w:sz w:val="30"/>
          <w:szCs w:val="30"/>
          <w:highlight w:val="none"/>
          <w:lang w:eastAsia="zh-CN"/>
        </w:rPr>
        <w:t>广西森林可持续经营年度验收项目</w:t>
      </w:r>
    </w:p>
    <w:bookmarkEnd w:id="1"/>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项目编号：</w:t>
      </w:r>
      <w:r>
        <w:rPr>
          <w:rFonts w:hint="eastAsia" w:ascii="宋体" w:hAnsi="宋体" w:cs="宋体"/>
          <w:b/>
          <w:bCs/>
          <w:color w:val="auto"/>
          <w:kern w:val="0"/>
          <w:sz w:val="30"/>
          <w:szCs w:val="30"/>
          <w:highlight w:val="none"/>
          <w:lang w:eastAsia="zh-CN"/>
        </w:rPr>
        <w:t>GXZC2025-C3-000376-HXZB</w:t>
      </w:r>
    </w:p>
    <w:p>
      <w:pPr>
        <w:jc w:val="center"/>
        <w:rPr>
          <w:rFonts w:ascii="宋体" w:hAnsi="宋体" w:cs="宋体"/>
          <w:b/>
          <w:color w:val="auto"/>
          <w:sz w:val="32"/>
          <w:szCs w:val="32"/>
          <w:highlight w:val="none"/>
        </w:rPr>
      </w:pPr>
    </w:p>
    <w:p>
      <w:pPr>
        <w:jc w:val="center"/>
        <w:rPr>
          <w:color w:val="auto"/>
          <w:highlight w:val="none"/>
        </w:rPr>
      </w:pPr>
    </w:p>
    <w:p>
      <w:pPr>
        <w:jc w:val="center"/>
        <w:rPr>
          <w:rFonts w:ascii="宋体" w:hAnsi="宋体" w:cs="宋体"/>
          <w:b/>
          <w:bCs/>
          <w:color w:val="auto"/>
          <w:kern w:val="0"/>
          <w:sz w:val="30"/>
          <w:szCs w:val="30"/>
          <w:highlight w:val="none"/>
        </w:rPr>
      </w:pPr>
    </w:p>
    <w:p>
      <w:pPr>
        <w:pStyle w:val="22"/>
        <w:jc w:val="center"/>
        <w:rPr>
          <w:color w:val="auto"/>
          <w:highlight w:val="none"/>
        </w:rPr>
      </w:pPr>
    </w:p>
    <w:p>
      <w:pPr>
        <w:pStyle w:val="22"/>
        <w:jc w:val="center"/>
        <w:rPr>
          <w:rFonts w:ascii="宋体" w:hAnsi="宋体" w:cs="宋体"/>
          <w:b/>
          <w:bCs/>
          <w:color w:val="auto"/>
          <w:sz w:val="30"/>
          <w:szCs w:val="30"/>
          <w:highlight w:val="none"/>
        </w:rPr>
      </w:pPr>
    </w:p>
    <w:p>
      <w:pPr>
        <w:jc w:val="center"/>
        <w:rPr>
          <w:color w:val="auto"/>
          <w:highlight w:val="none"/>
        </w:rPr>
      </w:pP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采购人：</w:t>
      </w:r>
      <w:r>
        <w:rPr>
          <w:rFonts w:hint="eastAsia" w:ascii="宋体" w:hAnsi="宋体" w:cs="宋体"/>
          <w:b/>
          <w:bCs/>
          <w:color w:val="auto"/>
          <w:kern w:val="0"/>
          <w:sz w:val="30"/>
          <w:szCs w:val="30"/>
          <w:highlight w:val="none"/>
          <w:lang w:eastAsia="zh-CN"/>
        </w:rPr>
        <w:t>广西壮族自治区林业局</w:t>
      </w:r>
    </w:p>
    <w:p>
      <w:pPr>
        <w:snapToGrid w:val="0"/>
        <w:spacing w:before="50" w:after="120" w:line="360" w:lineRule="auto"/>
        <w:jc w:val="center"/>
        <w:rPr>
          <w:rFonts w:hint="eastAsia" w:ascii="宋体" w:hAnsi="宋体" w:eastAsia="宋体" w:cs="宋体"/>
          <w:b/>
          <w:bCs/>
          <w:color w:val="auto"/>
          <w:kern w:val="0"/>
          <w:sz w:val="30"/>
          <w:szCs w:val="30"/>
          <w:highlight w:val="none"/>
          <w:lang w:eastAsia="zh-CN"/>
        </w:rPr>
      </w:pPr>
      <w:r>
        <w:rPr>
          <w:rFonts w:hint="eastAsia" w:ascii="宋体" w:hAnsi="宋体" w:cs="宋体"/>
          <w:b/>
          <w:bCs/>
          <w:color w:val="auto"/>
          <w:kern w:val="0"/>
          <w:sz w:val="30"/>
          <w:szCs w:val="30"/>
          <w:highlight w:val="none"/>
        </w:rPr>
        <w:t>采购代理机构：</w:t>
      </w:r>
      <w:r>
        <w:rPr>
          <w:rFonts w:hint="eastAsia" w:ascii="宋体" w:hAnsi="宋体" w:cs="宋体"/>
          <w:b/>
          <w:bCs/>
          <w:color w:val="auto"/>
          <w:kern w:val="0"/>
          <w:sz w:val="30"/>
          <w:szCs w:val="30"/>
          <w:highlight w:val="none"/>
          <w:lang w:eastAsia="zh-CN"/>
        </w:rPr>
        <w:t>南宁华鑫招标代理有限公司</w:t>
      </w:r>
    </w:p>
    <w:p>
      <w:pPr>
        <w:pStyle w:val="22"/>
        <w:jc w:val="center"/>
        <w:rPr>
          <w:color w:val="auto"/>
          <w:highlight w:val="none"/>
        </w:rPr>
      </w:pPr>
    </w:p>
    <w:p>
      <w:pPr>
        <w:jc w:val="center"/>
        <w:rPr>
          <w:color w:val="auto"/>
          <w:highlight w:val="none"/>
        </w:rPr>
      </w:pPr>
    </w:p>
    <w:p>
      <w:pPr>
        <w:snapToGrid w:val="0"/>
        <w:spacing w:before="50" w:after="120" w:line="360" w:lineRule="auto"/>
        <w:jc w:val="center"/>
        <w:rPr>
          <w:rFonts w:hint="eastAsia" w:ascii="宋体" w:hAnsi="宋体" w:eastAsia="宋体" w:cs="宋体"/>
          <w:b/>
          <w:bCs/>
          <w:color w:val="auto"/>
          <w:w w:val="95"/>
          <w:kern w:val="0"/>
          <w:sz w:val="30"/>
          <w:szCs w:val="30"/>
          <w:highlight w:val="none"/>
          <w:lang w:eastAsia="zh-CN"/>
        </w:rPr>
      </w:pPr>
      <w:r>
        <w:rPr>
          <w:rFonts w:hint="eastAsia" w:ascii="宋体" w:hAnsi="宋体" w:cs="宋体"/>
          <w:b/>
          <w:bCs/>
          <w:color w:val="auto"/>
          <w:w w:val="95"/>
          <w:kern w:val="0"/>
          <w:sz w:val="30"/>
          <w:szCs w:val="30"/>
          <w:highlight w:val="none"/>
        </w:rPr>
        <w:t xml:space="preserve"> 2025年</w:t>
      </w:r>
      <w:r>
        <w:rPr>
          <w:rFonts w:hint="eastAsia" w:ascii="宋体" w:hAnsi="宋体" w:cs="宋体"/>
          <w:b/>
          <w:bCs/>
          <w:color w:val="auto"/>
          <w:w w:val="95"/>
          <w:kern w:val="0"/>
          <w:sz w:val="30"/>
          <w:szCs w:val="30"/>
          <w:highlight w:val="none"/>
          <w:lang w:val="en-US" w:eastAsia="zh-CN"/>
        </w:rPr>
        <w:t>3</w:t>
      </w:r>
      <w:r>
        <w:rPr>
          <w:rFonts w:hint="eastAsia" w:ascii="宋体" w:hAnsi="宋体" w:cs="宋体"/>
          <w:b/>
          <w:bCs/>
          <w:color w:val="auto"/>
          <w:w w:val="95"/>
          <w:kern w:val="0"/>
          <w:sz w:val="30"/>
          <w:szCs w:val="30"/>
          <w:highlight w:val="none"/>
          <w:lang w:eastAsia="zh-CN"/>
        </w:rPr>
        <w:t>月</w:t>
      </w:r>
      <w:r>
        <w:rPr>
          <w:rFonts w:hint="eastAsia" w:ascii="宋体" w:hAnsi="宋体" w:cs="宋体"/>
          <w:b/>
          <w:bCs/>
          <w:color w:val="auto"/>
          <w:w w:val="95"/>
          <w:kern w:val="0"/>
          <w:sz w:val="30"/>
          <w:szCs w:val="30"/>
          <w:highlight w:val="none"/>
          <w:lang w:val="en-US" w:eastAsia="zh-CN"/>
        </w:rPr>
        <w:t>14</w:t>
      </w:r>
      <w:r>
        <w:rPr>
          <w:rFonts w:hint="eastAsia" w:ascii="宋体" w:hAnsi="宋体" w:cs="宋体"/>
          <w:b/>
          <w:bCs/>
          <w:color w:val="auto"/>
          <w:w w:val="95"/>
          <w:kern w:val="0"/>
          <w:sz w:val="30"/>
          <w:szCs w:val="30"/>
          <w:highlight w:val="none"/>
          <w:lang w:eastAsia="zh-CN"/>
        </w:rPr>
        <w:t>日</w:t>
      </w:r>
    </w:p>
    <w:p>
      <w:pPr>
        <w:pStyle w:val="14"/>
        <w:ind w:firstLine="803"/>
        <w:jc w:val="center"/>
        <w:rPr>
          <w:rFonts w:ascii="宋体" w:hAnsi="宋体" w:cs="宋体"/>
          <w:b/>
          <w:bCs/>
          <w:color w:val="auto"/>
          <w:w w:val="95"/>
          <w:sz w:val="30"/>
          <w:szCs w:val="30"/>
          <w:highlight w:val="none"/>
        </w:rPr>
        <w:sectPr>
          <w:headerReference r:id="rId3" w:type="default"/>
          <w:footerReference r:id="rId4" w:type="default"/>
          <w:footerReference r:id="rId5" w:type="even"/>
          <w:pgSz w:w="11911" w:h="16838"/>
          <w:pgMar w:top="1134" w:right="1134" w:bottom="1134" w:left="1134" w:header="720" w:footer="720" w:gutter="0"/>
          <w:pgNumType w:start="1"/>
          <w:cols w:space="720" w:num="1"/>
          <w:titlePg/>
          <w:docGrid w:linePitch="331" w:charSpace="0"/>
        </w:sectPr>
      </w:pPr>
    </w:p>
    <w:p>
      <w:pPr>
        <w:spacing w:before="360" w:beforeLines="150" w:after="360" w:afterLines="150" w:line="360" w:lineRule="auto"/>
        <w:jc w:val="center"/>
        <w:rPr>
          <w:b/>
          <w:color w:val="auto"/>
          <w:sz w:val="44"/>
          <w:szCs w:val="44"/>
          <w:highlight w:val="none"/>
        </w:rPr>
      </w:pPr>
      <w:r>
        <w:rPr>
          <w:rFonts w:hint="eastAsia"/>
          <w:b/>
          <w:color w:val="auto"/>
          <w:sz w:val="44"/>
          <w:szCs w:val="44"/>
          <w:highlight w:val="none"/>
        </w:rPr>
        <w:t>目   录</w:t>
      </w:r>
    </w:p>
    <w:p>
      <w:pPr>
        <w:spacing w:line="400" w:lineRule="exact"/>
        <w:jc w:val="center"/>
        <w:rPr>
          <w:b/>
          <w:color w:val="auto"/>
          <w:sz w:val="44"/>
          <w:szCs w:val="44"/>
          <w:highlight w:val="none"/>
        </w:rPr>
      </w:pPr>
    </w:p>
    <w:p>
      <w:pPr>
        <w:pStyle w:val="24"/>
        <w:tabs>
          <w:tab w:val="right" w:leader="dot" w:pos="9643"/>
        </w:tabs>
        <w:spacing w:line="480" w:lineRule="auto"/>
        <w:rPr>
          <w:rFonts w:ascii="宋体" w:hAnsi="宋体" w:cs="宋体"/>
          <w:b/>
          <w:bCs/>
          <w:color w:val="auto"/>
          <w:sz w:val="32"/>
          <w:szCs w:val="32"/>
          <w:highlight w:val="none"/>
        </w:rPr>
      </w:pPr>
      <w:r>
        <w:rPr>
          <w:rFonts w:hint="eastAsia" w:ascii="宋体" w:hAnsi="宋体" w:cs="宋体"/>
          <w:b/>
          <w:bCs/>
          <w:color w:val="auto"/>
          <w:sz w:val="24"/>
          <w:highlight w:val="none"/>
        </w:rPr>
        <w:fldChar w:fldCharType="begin"/>
      </w:r>
      <w:r>
        <w:rPr>
          <w:rFonts w:hint="eastAsia" w:ascii="宋体" w:hAnsi="宋体" w:cs="宋体"/>
          <w:b/>
          <w:bCs/>
          <w:color w:val="auto"/>
          <w:sz w:val="24"/>
          <w:highlight w:val="none"/>
        </w:rPr>
        <w:instrText xml:space="preserve">TOC \o "1-1" \h \u </w:instrText>
      </w:r>
      <w:r>
        <w:rPr>
          <w:rFonts w:hint="eastAsia" w:ascii="宋体" w:hAnsi="宋体" w:cs="宋体"/>
          <w:b/>
          <w:bCs/>
          <w:color w:val="auto"/>
          <w:sz w:val="24"/>
          <w:highlight w:val="none"/>
        </w:rPr>
        <w:fldChar w:fldCharType="separate"/>
      </w:r>
      <w:r>
        <w:rPr>
          <w:color w:val="auto"/>
          <w:highlight w:val="none"/>
        </w:rPr>
        <w:fldChar w:fldCharType="begin"/>
      </w:r>
      <w:r>
        <w:rPr>
          <w:color w:val="auto"/>
          <w:highlight w:val="none"/>
        </w:rPr>
        <w:instrText xml:space="preserve"> HYPERLINK \l "_Toc32264" </w:instrText>
      </w:r>
      <w:r>
        <w:rPr>
          <w:color w:val="auto"/>
          <w:highlight w:val="none"/>
        </w:rPr>
        <w:fldChar w:fldCharType="separate"/>
      </w:r>
      <w:r>
        <w:rPr>
          <w:rFonts w:hint="eastAsia" w:ascii="宋体" w:hAnsi="宋体" w:cs="宋体"/>
          <w:b/>
          <w:bCs/>
          <w:color w:val="auto"/>
          <w:sz w:val="32"/>
          <w:szCs w:val="32"/>
          <w:highlight w:val="none"/>
        </w:rPr>
        <w:t>第一章  竞争性磋</w:t>
      </w:r>
      <w:bookmarkStart w:id="2" w:name="_Hlt135924181"/>
      <w:r>
        <w:rPr>
          <w:rFonts w:hint="eastAsia" w:ascii="宋体" w:hAnsi="宋体" w:cs="宋体"/>
          <w:b/>
          <w:bCs/>
          <w:color w:val="auto"/>
          <w:sz w:val="32"/>
          <w:szCs w:val="32"/>
          <w:highlight w:val="none"/>
        </w:rPr>
        <w:t>商</w:t>
      </w:r>
      <w:bookmarkEnd w:id="2"/>
      <w:r>
        <w:rPr>
          <w:rFonts w:hint="eastAsia" w:ascii="宋体" w:hAnsi="宋体" w:cs="宋体"/>
          <w:b/>
          <w:bCs/>
          <w:color w:val="auto"/>
          <w:sz w:val="32"/>
          <w:szCs w:val="32"/>
          <w:highlight w:val="none"/>
        </w:rPr>
        <w:t>公告</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_Toc32264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"_Toc26836" </w:instrText>
      </w:r>
      <w:r>
        <w:rPr>
          <w:color w:val="auto"/>
          <w:highlight w:val="none"/>
        </w:rPr>
        <w:fldChar w:fldCharType="separate"/>
      </w:r>
      <w:r>
        <w:rPr>
          <w:rFonts w:hint="eastAsia" w:ascii="宋体" w:hAnsi="宋体" w:cs="宋体"/>
          <w:b/>
          <w:bCs/>
          <w:color w:val="auto"/>
          <w:sz w:val="32"/>
          <w:szCs w:val="32"/>
          <w:highlight w:val="none"/>
        </w:rPr>
        <w:t>第二章  采购需</w:t>
      </w:r>
      <w:bookmarkStart w:id="3" w:name="_Hlt137127195"/>
      <w:r>
        <w:rPr>
          <w:rFonts w:hint="eastAsia" w:ascii="宋体" w:hAnsi="宋体" w:cs="宋体"/>
          <w:b/>
          <w:bCs/>
          <w:color w:val="auto"/>
          <w:sz w:val="32"/>
          <w:szCs w:val="32"/>
          <w:highlight w:val="none"/>
        </w:rPr>
        <w:t>求</w:t>
      </w:r>
      <w:bookmarkEnd w:id="3"/>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_Toc26836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"_Toc2072" </w:instrText>
      </w:r>
      <w:r>
        <w:rPr>
          <w:color w:val="auto"/>
          <w:highlight w:val="none"/>
        </w:rPr>
        <w:fldChar w:fldCharType="separate"/>
      </w:r>
      <w:r>
        <w:rPr>
          <w:rFonts w:hint="eastAsia" w:ascii="宋体" w:hAnsi="宋体" w:cs="宋体"/>
          <w:b/>
          <w:bCs/>
          <w:color w:val="auto"/>
          <w:sz w:val="32"/>
          <w:szCs w:val="32"/>
          <w:highlight w:val="none"/>
        </w:rPr>
        <w:t>第三章  供应</w:t>
      </w:r>
      <w:bookmarkStart w:id="4" w:name="_Hlt135905307"/>
      <w:r>
        <w:rPr>
          <w:rFonts w:hint="eastAsia" w:ascii="宋体" w:hAnsi="宋体" w:cs="宋体"/>
          <w:b/>
          <w:bCs/>
          <w:color w:val="auto"/>
          <w:sz w:val="32"/>
          <w:szCs w:val="32"/>
          <w:highlight w:val="none"/>
        </w:rPr>
        <w:t>商</w:t>
      </w:r>
      <w:bookmarkEnd w:id="4"/>
      <w:r>
        <w:rPr>
          <w:rFonts w:hint="eastAsia" w:ascii="宋体" w:hAnsi="宋体" w:cs="宋体"/>
          <w:b/>
          <w:bCs/>
          <w:color w:val="auto"/>
          <w:sz w:val="32"/>
          <w:szCs w:val="32"/>
          <w:highlight w:val="none"/>
        </w:rPr>
        <w:t>须知</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_Toc2072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9</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"_Toc1088" </w:instrText>
      </w:r>
      <w:r>
        <w:rPr>
          <w:color w:val="auto"/>
          <w:highlight w:val="none"/>
        </w:rPr>
        <w:fldChar w:fldCharType="separate"/>
      </w:r>
      <w:r>
        <w:rPr>
          <w:rFonts w:hint="eastAsia" w:ascii="宋体" w:hAnsi="宋体" w:cs="宋体"/>
          <w:b/>
          <w:bCs/>
          <w:color w:val="auto"/>
          <w:sz w:val="32"/>
          <w:szCs w:val="32"/>
          <w:highlight w:val="none"/>
        </w:rPr>
        <w:t>第四章  评审程序、评审方法和评审标准</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_Toc1088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27</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"_Toc22302" </w:instrText>
      </w:r>
      <w:r>
        <w:rPr>
          <w:color w:val="auto"/>
          <w:highlight w:val="none"/>
        </w:rPr>
        <w:fldChar w:fldCharType="separate"/>
      </w:r>
      <w:r>
        <w:rPr>
          <w:rFonts w:hint="eastAsia" w:ascii="宋体" w:hAnsi="宋体" w:cs="宋体"/>
          <w:b/>
          <w:bCs/>
          <w:color w:val="auto"/>
          <w:sz w:val="32"/>
          <w:szCs w:val="32"/>
          <w:highlight w:val="none"/>
        </w:rPr>
        <w:t>第五章  响应文</w:t>
      </w:r>
      <w:bookmarkStart w:id="5" w:name="_Hlt135897173"/>
      <w:bookmarkStart w:id="6" w:name="_Hlt135897174"/>
      <w:r>
        <w:rPr>
          <w:rFonts w:hint="eastAsia" w:ascii="宋体" w:hAnsi="宋体" w:cs="宋体"/>
          <w:b/>
          <w:bCs/>
          <w:color w:val="auto"/>
          <w:sz w:val="32"/>
          <w:szCs w:val="32"/>
          <w:highlight w:val="none"/>
        </w:rPr>
        <w:t>件</w:t>
      </w:r>
      <w:bookmarkEnd w:id="5"/>
      <w:bookmarkEnd w:id="6"/>
      <w:r>
        <w:rPr>
          <w:rFonts w:hint="eastAsia" w:ascii="宋体" w:hAnsi="宋体" w:cs="宋体"/>
          <w:b/>
          <w:bCs/>
          <w:color w:val="auto"/>
          <w:sz w:val="32"/>
          <w:szCs w:val="32"/>
          <w:highlight w:val="none"/>
        </w:rPr>
        <w:t>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_Toc22302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35</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rFonts w:ascii="宋体" w:hAnsi="宋体" w:cs="宋体"/>
          <w:b/>
          <w:bCs/>
          <w:color w:val="auto"/>
          <w:sz w:val="32"/>
          <w:szCs w:val="32"/>
          <w:highlight w:val="none"/>
        </w:rPr>
      </w:pPr>
      <w:r>
        <w:rPr>
          <w:color w:val="auto"/>
          <w:highlight w:val="none"/>
        </w:rPr>
        <w:fldChar w:fldCharType="begin"/>
      </w:r>
      <w:r>
        <w:rPr>
          <w:color w:val="auto"/>
          <w:highlight w:val="none"/>
        </w:rPr>
        <w:instrText xml:space="preserve"> HYPERLINK \l "_Toc18676" </w:instrText>
      </w:r>
      <w:r>
        <w:rPr>
          <w:color w:val="auto"/>
          <w:highlight w:val="none"/>
        </w:rPr>
        <w:fldChar w:fldCharType="separate"/>
      </w:r>
      <w:r>
        <w:rPr>
          <w:rFonts w:hint="eastAsia" w:ascii="宋体" w:hAnsi="宋体" w:cs="宋体"/>
          <w:b/>
          <w:bCs/>
          <w:color w:val="auto"/>
          <w:sz w:val="32"/>
          <w:szCs w:val="32"/>
          <w:highlight w:val="none"/>
        </w:rPr>
        <w:t>第六章  合同</w:t>
      </w:r>
      <w:bookmarkStart w:id="7" w:name="_Hlt137127063"/>
      <w:bookmarkStart w:id="8" w:name="_Hlt137127064"/>
      <w:bookmarkStart w:id="9" w:name="_Hlt135924190"/>
      <w:r>
        <w:rPr>
          <w:rFonts w:hint="eastAsia" w:ascii="宋体" w:hAnsi="宋体" w:cs="宋体"/>
          <w:b/>
          <w:bCs/>
          <w:color w:val="auto"/>
          <w:sz w:val="32"/>
          <w:szCs w:val="32"/>
          <w:highlight w:val="none"/>
        </w:rPr>
        <w:t>文</w:t>
      </w:r>
      <w:bookmarkEnd w:id="7"/>
      <w:bookmarkEnd w:id="8"/>
      <w:bookmarkEnd w:id="9"/>
      <w:bookmarkStart w:id="10" w:name="_Hlt135924166"/>
      <w:bookmarkStart w:id="11" w:name="_Hlt135924167"/>
      <w:r>
        <w:rPr>
          <w:rFonts w:hint="eastAsia" w:ascii="宋体" w:hAnsi="宋体" w:cs="宋体"/>
          <w:b/>
          <w:bCs/>
          <w:color w:val="auto"/>
          <w:sz w:val="32"/>
          <w:szCs w:val="32"/>
          <w:highlight w:val="none"/>
        </w:rPr>
        <w:t>本</w:t>
      </w:r>
      <w:bookmarkEnd w:id="10"/>
      <w:bookmarkEnd w:id="11"/>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_Toc18676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66</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4"/>
        <w:tabs>
          <w:tab w:val="right" w:leader="dot" w:pos="9643"/>
        </w:tabs>
        <w:spacing w:line="480" w:lineRule="auto"/>
        <w:rPr>
          <w:b/>
          <w:bCs/>
          <w:color w:val="auto"/>
          <w:sz w:val="32"/>
          <w:szCs w:val="32"/>
          <w:highlight w:val="none"/>
        </w:rPr>
      </w:pPr>
      <w:r>
        <w:rPr>
          <w:color w:val="auto"/>
          <w:highlight w:val="none"/>
        </w:rPr>
        <w:fldChar w:fldCharType="begin"/>
      </w:r>
      <w:r>
        <w:rPr>
          <w:color w:val="auto"/>
          <w:highlight w:val="none"/>
        </w:rPr>
        <w:instrText xml:space="preserve"> HYPERLINK \l "_Toc13011" </w:instrText>
      </w:r>
      <w:r>
        <w:rPr>
          <w:color w:val="auto"/>
          <w:highlight w:val="none"/>
        </w:rPr>
        <w:fldChar w:fldCharType="separate"/>
      </w:r>
      <w:r>
        <w:rPr>
          <w:rFonts w:hint="eastAsia" w:ascii="宋体" w:hAnsi="宋体" w:cs="宋体"/>
          <w:b/>
          <w:bCs/>
          <w:color w:val="auto"/>
          <w:sz w:val="32"/>
          <w:szCs w:val="32"/>
          <w:highlight w:val="none"/>
        </w:rPr>
        <w:t>第七章  质疑、投诉</w:t>
      </w:r>
      <w:bookmarkStart w:id="12" w:name="_Hlt137580638"/>
      <w:bookmarkStart w:id="13" w:name="_Hlt137580637"/>
      <w:r>
        <w:rPr>
          <w:rFonts w:hint="eastAsia" w:ascii="宋体" w:hAnsi="宋体" w:cs="宋体"/>
          <w:b/>
          <w:bCs/>
          <w:color w:val="auto"/>
          <w:sz w:val="32"/>
          <w:szCs w:val="32"/>
          <w:highlight w:val="none"/>
        </w:rPr>
        <w:t>材</w:t>
      </w:r>
      <w:bookmarkEnd w:id="12"/>
      <w:bookmarkEnd w:id="13"/>
      <w:r>
        <w:rPr>
          <w:rFonts w:hint="eastAsia" w:ascii="宋体" w:hAnsi="宋体" w:cs="宋体"/>
          <w:b/>
          <w:bCs/>
          <w:color w:val="auto"/>
          <w:sz w:val="32"/>
          <w:szCs w:val="32"/>
          <w:highlight w:val="none"/>
        </w:rPr>
        <w:t>料格式</w:t>
      </w:r>
      <w:r>
        <w:rPr>
          <w:rFonts w:hint="eastAsia" w:ascii="宋体" w:hAnsi="宋体" w:cs="宋体"/>
          <w:b/>
          <w:bCs/>
          <w:color w:val="auto"/>
          <w:sz w:val="32"/>
          <w:szCs w:val="32"/>
          <w:highlight w:val="none"/>
        </w:rPr>
        <w:tab/>
      </w:r>
      <w:r>
        <w:rPr>
          <w:rFonts w:hint="eastAsia" w:ascii="宋体" w:hAnsi="宋体" w:cs="宋体"/>
          <w:b/>
          <w:bCs/>
          <w:color w:val="auto"/>
          <w:sz w:val="32"/>
          <w:szCs w:val="32"/>
          <w:highlight w:val="none"/>
        </w:rPr>
        <w:fldChar w:fldCharType="begin"/>
      </w:r>
      <w:r>
        <w:rPr>
          <w:rFonts w:hint="eastAsia" w:ascii="宋体" w:hAnsi="宋体" w:cs="宋体"/>
          <w:b/>
          <w:bCs/>
          <w:color w:val="auto"/>
          <w:sz w:val="32"/>
          <w:szCs w:val="32"/>
          <w:highlight w:val="none"/>
        </w:rPr>
        <w:instrText xml:space="preserve"> PAGEREF _Toc13011 </w:instrText>
      </w:r>
      <w:r>
        <w:rPr>
          <w:rFonts w:hint="eastAsia" w:ascii="宋体" w:hAnsi="宋体" w:cs="宋体"/>
          <w:b/>
          <w:bCs/>
          <w:color w:val="auto"/>
          <w:sz w:val="32"/>
          <w:szCs w:val="32"/>
          <w:highlight w:val="none"/>
        </w:rPr>
        <w:fldChar w:fldCharType="separate"/>
      </w:r>
      <w:r>
        <w:rPr>
          <w:rFonts w:hint="eastAsia" w:ascii="宋体" w:hAnsi="宋体" w:cs="宋体"/>
          <w:b/>
          <w:bCs/>
          <w:color w:val="auto"/>
          <w:sz w:val="32"/>
          <w:szCs w:val="32"/>
          <w:highlight w:val="none"/>
        </w:rPr>
        <w:t>71</w:t>
      </w:r>
      <w:r>
        <w:rPr>
          <w:rFonts w:hint="eastAsia" w:ascii="宋体" w:hAnsi="宋体" w:cs="宋体"/>
          <w:b/>
          <w:bCs/>
          <w:color w:val="auto"/>
          <w:sz w:val="32"/>
          <w:szCs w:val="32"/>
          <w:highlight w:val="none"/>
        </w:rPr>
        <w:fldChar w:fldCharType="end"/>
      </w:r>
      <w:r>
        <w:rPr>
          <w:rFonts w:hint="eastAsia" w:ascii="宋体" w:hAnsi="宋体" w:cs="宋体"/>
          <w:b/>
          <w:bCs/>
          <w:color w:val="auto"/>
          <w:sz w:val="32"/>
          <w:szCs w:val="32"/>
          <w:highlight w:val="none"/>
        </w:rPr>
        <w:fldChar w:fldCharType="end"/>
      </w:r>
    </w:p>
    <w:p>
      <w:pPr>
        <w:pStyle w:val="26"/>
        <w:spacing w:line="480" w:lineRule="auto"/>
        <w:rPr>
          <w:b/>
          <w:color w:val="auto"/>
          <w:sz w:val="32"/>
          <w:szCs w:val="32"/>
          <w:highlight w:val="none"/>
        </w:rPr>
      </w:pPr>
      <w:r>
        <w:rPr>
          <w:rFonts w:hint="eastAsia" w:ascii="宋体" w:hAnsi="宋体" w:cs="宋体"/>
          <w:b/>
          <w:bCs/>
          <w:color w:val="auto"/>
          <w:sz w:val="24"/>
          <w:highlight w:val="none"/>
        </w:rPr>
        <w:fldChar w:fldCharType="end"/>
      </w:r>
    </w:p>
    <w:p>
      <w:pPr>
        <w:spacing w:line="400" w:lineRule="exact"/>
        <w:rPr>
          <w:b/>
          <w:color w:val="auto"/>
          <w:sz w:val="32"/>
          <w:szCs w:val="32"/>
          <w:highlight w:val="none"/>
        </w:rPr>
        <w:sectPr>
          <w:headerReference r:id="rId7" w:type="first"/>
          <w:footerReference r:id="rId9" w:type="first"/>
          <w:headerReference r:id="rId6" w:type="default"/>
          <w:footerReference r:id="rId8" w:type="default"/>
          <w:pgSz w:w="11911" w:h="16838"/>
          <w:pgMar w:top="1134" w:right="1134" w:bottom="1134" w:left="1134" w:header="720" w:footer="720" w:gutter="0"/>
          <w:cols w:space="720" w:num="1"/>
          <w:docGrid w:linePitch="312" w:charSpace="0"/>
        </w:sectPr>
      </w:pPr>
      <w:bookmarkStart w:id="178" w:name="_GoBack"/>
      <w:bookmarkEnd w:id="178"/>
    </w:p>
    <w:p>
      <w:pPr>
        <w:pStyle w:val="3"/>
        <w:spacing w:before="360" w:after="360" w:line="400" w:lineRule="exact"/>
        <w:jc w:val="center"/>
        <w:rPr>
          <w:rFonts w:ascii="Calibri" w:hAnsi="Calibri"/>
          <w:color w:val="auto"/>
          <w:highlight w:val="none"/>
        </w:rPr>
      </w:pPr>
      <w:bookmarkStart w:id="14" w:name="_Toc11989"/>
      <w:bookmarkStart w:id="15" w:name="_Toc32264"/>
      <w:bookmarkStart w:id="16" w:name="_Toc15624"/>
      <w:bookmarkStart w:id="17" w:name="_Toc80886925"/>
      <w:bookmarkStart w:id="18" w:name="_Toc11382"/>
      <w:bookmarkStart w:id="19" w:name="_Toc27000"/>
      <w:bookmarkStart w:id="20" w:name="_Toc12242"/>
      <w:bookmarkStart w:id="21" w:name="_Toc18838"/>
      <w:bookmarkStart w:id="22" w:name="OLE_LINK4"/>
      <w:r>
        <w:rPr>
          <w:rFonts w:hint="eastAsia" w:ascii="Calibri" w:hAnsi="Calibri"/>
          <w:color w:val="auto"/>
          <w:highlight w:val="none"/>
        </w:rPr>
        <w:t>第一章 竞争性磋商公告</w:t>
      </w:r>
      <w:bookmarkEnd w:id="14"/>
      <w:bookmarkEnd w:id="15"/>
      <w:bookmarkEnd w:id="16"/>
      <w:bookmarkEnd w:id="17"/>
      <w:bookmarkEnd w:id="18"/>
      <w:bookmarkEnd w:id="19"/>
      <w:bookmarkEnd w:id="20"/>
      <w:bookmarkEnd w:id="21"/>
      <w:bookmarkStart w:id="23" w:name="_Toc28359004"/>
      <w:bookmarkStart w:id="24" w:name="_Toc28359089"/>
      <w:bookmarkStart w:id="25" w:name="_Toc35393798"/>
      <w:bookmarkStart w:id="26" w:name="_Toc35393792"/>
      <w:bookmarkStart w:id="27" w:name="_Toc35393629"/>
      <w:bookmarkStart w:id="28" w:name="_Toc28359012"/>
      <w:bookmarkStart w:id="29" w:name="_Toc44229878"/>
      <w:bookmarkStart w:id="30" w:name="_Toc35393623"/>
      <w:bookmarkStart w:id="31" w:name="_Toc28359081"/>
    </w:p>
    <w:bookmarkEnd w:id="22"/>
    <w:p>
      <w:pPr>
        <w:spacing w:line="360" w:lineRule="auto"/>
        <w:jc w:val="center"/>
        <w:rPr>
          <w:b/>
          <w:color w:val="auto"/>
          <w:sz w:val="32"/>
          <w:szCs w:val="32"/>
          <w:highlight w:val="none"/>
        </w:rPr>
      </w:pP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lang w:eastAsia="zh-CN"/>
        </w:rPr>
        <w:t>南宁华鑫招标代理有限公司</w:t>
      </w:r>
      <w:r>
        <w:rPr>
          <w:rFonts w:hint="eastAsia" w:ascii="宋体" w:hAnsi="宋体" w:cs="宋体"/>
          <w:b/>
          <w:color w:val="auto"/>
          <w:sz w:val="36"/>
          <w:szCs w:val="36"/>
          <w:highlight w:val="none"/>
        </w:rPr>
        <w:t>关于</w:t>
      </w:r>
      <w:r>
        <w:rPr>
          <w:rFonts w:hint="eastAsia" w:ascii="宋体" w:hAnsi="宋体" w:cs="宋体"/>
          <w:b/>
          <w:color w:val="auto"/>
          <w:sz w:val="36"/>
          <w:szCs w:val="36"/>
          <w:highlight w:val="none"/>
          <w:lang w:eastAsia="zh-CN"/>
        </w:rPr>
        <w:t>广西森林可持续经营年度验收项目</w:t>
      </w: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eastAsia="zh-CN"/>
        </w:rPr>
        <w:t>GXZC2025-C3-000376-HXZB</w:t>
      </w:r>
      <w:r>
        <w:rPr>
          <w:rFonts w:hint="eastAsia" w:ascii="宋体" w:hAnsi="宋体" w:cs="宋体"/>
          <w:b/>
          <w:color w:val="auto"/>
          <w:sz w:val="36"/>
          <w:szCs w:val="36"/>
          <w:highlight w:val="none"/>
        </w:rPr>
        <w:t>）的竞争性磋商公告</w:t>
      </w:r>
    </w:p>
    <w:p>
      <w:pPr>
        <w:pStyle w:val="22"/>
        <w:rPr>
          <w:color w:val="auto"/>
          <w:highlight w:val="none"/>
        </w:rPr>
      </w:pPr>
    </w:p>
    <w:bookmarkEnd w:id="23"/>
    <w:bookmarkEnd w:id="24"/>
    <w:bookmarkEnd w:id="25"/>
    <w:bookmarkEnd w:id="26"/>
    <w:bookmarkEnd w:id="27"/>
    <w:bookmarkEnd w:id="28"/>
    <w:bookmarkEnd w:id="29"/>
    <w:bookmarkEnd w:id="30"/>
    <w:bookmarkEnd w:id="31"/>
    <w:tbl>
      <w:tblPr>
        <w:tblStyle w:val="31"/>
        <w:tblW w:w="98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9" w:type="dxa"/>
          </w:tcPr>
          <w:p>
            <w:pPr>
              <w:spacing w:line="360" w:lineRule="auto"/>
              <w:rPr>
                <w:color w:val="auto"/>
                <w:szCs w:val="21"/>
                <w:highlight w:val="none"/>
              </w:rPr>
            </w:pPr>
            <w:r>
              <w:rPr>
                <w:rFonts w:hint="eastAsia"/>
                <w:color w:val="auto"/>
                <w:szCs w:val="21"/>
                <w:highlight w:val="none"/>
              </w:rPr>
              <w:t>项目概况：</w:t>
            </w:r>
          </w:p>
          <w:p>
            <w:pPr>
              <w:spacing w:line="360" w:lineRule="auto"/>
              <w:ind w:firstLine="420" w:firstLineChars="200"/>
              <w:rPr>
                <w:rFonts w:ascii="黑体" w:hAnsi="黑体" w:eastAsia="黑体" w:cs="宋体"/>
                <w:bCs/>
                <w:color w:val="auto"/>
                <w:sz w:val="24"/>
                <w:highlight w:val="none"/>
              </w:rPr>
            </w:pPr>
            <w:r>
              <w:rPr>
                <w:rFonts w:hint="eastAsia" w:ascii="宋体" w:hAnsi="宋体" w:cs="宋体"/>
                <w:color w:val="auto"/>
                <w:szCs w:val="21"/>
                <w:highlight w:val="none"/>
                <w:u w:val="single"/>
                <w:lang w:eastAsia="zh-CN"/>
              </w:rPr>
              <w:t>广西森林可持续经营年度验收项目</w:t>
            </w:r>
            <w:r>
              <w:rPr>
                <w:rFonts w:hint="eastAsia" w:ascii="宋体" w:hAnsi="宋体" w:cs="宋体"/>
                <w:color w:val="auto"/>
                <w:szCs w:val="21"/>
                <w:highlight w:val="none"/>
              </w:rPr>
              <w:t>采购项目的潜在供应商应在广西政府采购云平台（https://www.gcy.zfcg.gxzf.gov.cn/）获取采购文件，并于2025年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0:00（北京时间）前提交响应文件。</w:t>
            </w:r>
          </w:p>
        </w:tc>
      </w:tr>
    </w:tbl>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一、项目基本情况</w:t>
      </w:r>
    </w:p>
    <w:p>
      <w:pPr>
        <w:spacing w:line="360" w:lineRule="auto"/>
        <w:ind w:firstLine="421"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项目编号：</w:t>
      </w:r>
      <w:r>
        <w:rPr>
          <w:rFonts w:hint="eastAsia" w:ascii="宋体" w:hAnsi="宋体"/>
          <w:color w:val="auto"/>
          <w:szCs w:val="21"/>
          <w:highlight w:val="none"/>
          <w:lang w:eastAsia="zh-CN"/>
        </w:rPr>
        <w:t>GXZC2025-C3-000376-HXZB</w:t>
      </w:r>
    </w:p>
    <w:p>
      <w:pPr>
        <w:spacing w:line="360" w:lineRule="auto"/>
        <w:ind w:firstLine="421"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广西森林可持续经营年度验收项目</w:t>
      </w:r>
    </w:p>
    <w:p>
      <w:pPr>
        <w:spacing w:line="360" w:lineRule="auto"/>
        <w:ind w:firstLine="421" w:firstLineChars="200"/>
        <w:rPr>
          <w:rFonts w:ascii="宋体" w:hAnsi="宋体"/>
          <w:color w:val="auto"/>
          <w:szCs w:val="21"/>
          <w:highlight w:val="none"/>
        </w:rPr>
      </w:pPr>
      <w:r>
        <w:rPr>
          <w:rFonts w:hint="eastAsia" w:ascii="宋体" w:hAnsi="宋体"/>
          <w:b/>
          <w:bCs/>
          <w:color w:val="auto"/>
          <w:szCs w:val="21"/>
          <w:highlight w:val="none"/>
        </w:rPr>
        <w:t>采购方式：</w:t>
      </w:r>
      <w:r>
        <w:rPr>
          <w:rFonts w:hint="eastAsia" w:ascii="宋体" w:hAnsi="宋体"/>
          <w:color w:val="auto"/>
          <w:szCs w:val="21"/>
          <w:highlight w:val="none"/>
        </w:rPr>
        <w:t>竞争性磋商</w:t>
      </w:r>
    </w:p>
    <w:p>
      <w:pPr>
        <w:spacing w:line="360" w:lineRule="auto"/>
        <w:ind w:firstLine="421" w:firstLineChars="200"/>
        <w:rPr>
          <w:rFonts w:hint="eastAsia" w:ascii="宋体" w:hAnsi="宋体" w:eastAsia="宋体"/>
          <w:color w:val="auto"/>
          <w:szCs w:val="21"/>
          <w:highlight w:val="none"/>
          <w:lang w:eastAsia="zh-CN"/>
        </w:rPr>
      </w:pPr>
      <w:r>
        <w:rPr>
          <w:rFonts w:hint="eastAsia" w:ascii="宋体" w:hAnsi="宋体"/>
          <w:b/>
          <w:bCs/>
          <w:color w:val="auto"/>
          <w:szCs w:val="21"/>
          <w:highlight w:val="none"/>
        </w:rPr>
        <w:t>预算金额（元）</w:t>
      </w:r>
      <w:r>
        <w:rPr>
          <w:rFonts w:hint="eastAsia" w:ascii="宋体" w:hAnsi="宋体"/>
          <w:color w:val="auto"/>
          <w:szCs w:val="21"/>
          <w:highlight w:val="none"/>
        </w:rPr>
        <w:t>：</w:t>
      </w:r>
      <w:r>
        <w:rPr>
          <w:rFonts w:hint="eastAsia" w:ascii="宋体" w:hAnsi="宋体"/>
          <w:color w:val="auto"/>
          <w:szCs w:val="21"/>
          <w:highlight w:val="none"/>
          <w:lang w:eastAsia="zh-CN"/>
        </w:rPr>
        <w:t>1,000,000.00</w:t>
      </w:r>
    </w:p>
    <w:p>
      <w:pPr>
        <w:spacing w:line="360" w:lineRule="auto"/>
        <w:ind w:firstLine="421" w:firstLineChars="200"/>
        <w:rPr>
          <w:rFonts w:ascii="宋体" w:hAnsi="宋体"/>
          <w:b/>
          <w:bCs/>
          <w:color w:val="auto"/>
          <w:szCs w:val="21"/>
          <w:highlight w:val="none"/>
        </w:rPr>
      </w:pPr>
      <w:r>
        <w:rPr>
          <w:rFonts w:hint="eastAsia" w:ascii="宋体" w:hAnsi="宋体"/>
          <w:b/>
          <w:bCs/>
          <w:color w:val="auto"/>
          <w:szCs w:val="21"/>
          <w:highlight w:val="none"/>
        </w:rPr>
        <w:t>采购需求：</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标项名称:</w:t>
      </w:r>
      <w:r>
        <w:rPr>
          <w:rFonts w:hint="eastAsia" w:ascii="宋体" w:hAnsi="宋体"/>
          <w:color w:val="auto"/>
          <w:szCs w:val="21"/>
          <w:highlight w:val="none"/>
          <w:lang w:eastAsia="zh-CN"/>
        </w:rPr>
        <w:t>广西森林可持续经营年度验收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pPr>
        <w:spacing w:line="360" w:lineRule="auto"/>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预算金额（元）:</w:t>
      </w:r>
      <w:r>
        <w:rPr>
          <w:rFonts w:hint="eastAsia" w:ascii="宋体" w:hAnsi="宋体"/>
          <w:color w:val="auto"/>
          <w:szCs w:val="21"/>
          <w:highlight w:val="none"/>
          <w:lang w:eastAsia="zh-CN"/>
        </w:rPr>
        <w:t>1,000,000.00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eastAsia="zh-CN"/>
        </w:rPr>
        <w:t>广西森林可持续经营年度验收</w:t>
      </w:r>
      <w:r>
        <w:rPr>
          <w:rFonts w:hint="eastAsia" w:ascii="宋体" w:hAnsi="宋体"/>
          <w:color w:val="auto"/>
          <w:szCs w:val="21"/>
          <w:highlight w:val="none"/>
        </w:rPr>
        <w:t>1项，详见本</w:t>
      </w:r>
      <w:r>
        <w:rPr>
          <w:rFonts w:hint="eastAsia"/>
          <w:color w:val="auto"/>
          <w:highlight w:val="none"/>
        </w:rPr>
        <w:t>竞争性磋商公告</w:t>
      </w:r>
      <w:r>
        <w:rPr>
          <w:rFonts w:hint="eastAsia" w:ascii="宋体" w:hAnsi="宋体"/>
          <w:color w:val="auto"/>
          <w:szCs w:val="21"/>
          <w:highlight w:val="none"/>
        </w:rPr>
        <w:t>附件采购文件。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最高限价（如有）：/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合同履约期限：</w:t>
      </w:r>
      <w:r>
        <w:rPr>
          <w:rFonts w:hint="eastAsia" w:ascii="宋体" w:hAnsi="宋体" w:cs="宋体"/>
          <w:color w:val="auto"/>
          <w:szCs w:val="21"/>
          <w:highlight w:val="none"/>
        </w:rPr>
        <w:t>签订合同之日起5天内能按采购文件要求提供本项目服务，</w:t>
      </w:r>
      <w:r>
        <w:rPr>
          <w:rFonts w:hint="eastAsia" w:ascii="宋体" w:hAnsi="宋体" w:cs="宋体"/>
          <w:color w:val="auto"/>
          <w:szCs w:val="21"/>
          <w:highlight w:val="none"/>
          <w:lang w:val="en-US" w:eastAsia="zh-CN"/>
        </w:rPr>
        <w:t>2025年12月底前</w:t>
      </w:r>
      <w:r>
        <w:rPr>
          <w:rFonts w:hint="eastAsia" w:ascii="宋体" w:hAnsi="宋体" w:cs="宋体"/>
          <w:color w:val="auto"/>
          <w:szCs w:val="21"/>
          <w:highlight w:val="none"/>
        </w:rPr>
        <w:t>完成验收及提交所有服务内容</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报告。</w:t>
      </w:r>
    </w:p>
    <w:p>
      <w:pPr>
        <w:spacing w:line="360" w:lineRule="auto"/>
        <w:ind w:firstLine="420" w:firstLineChars="200"/>
        <w:rPr>
          <w:rFonts w:ascii="宋体" w:hAnsi="宋体"/>
          <w:color w:val="auto"/>
          <w:szCs w:val="21"/>
          <w:highlight w:val="none"/>
        </w:rPr>
      </w:pPr>
      <w:bookmarkStart w:id="32" w:name="OLE_LINK3"/>
      <w:r>
        <w:rPr>
          <w:rFonts w:hint="eastAsia" w:ascii="宋体" w:hAnsi="宋体"/>
          <w:color w:val="auto"/>
          <w:szCs w:val="21"/>
          <w:highlight w:val="none"/>
        </w:rPr>
        <w:t>本标项</w:t>
      </w:r>
      <w:r>
        <w:rPr>
          <w:rFonts w:ascii="宋体" w:hAnsi="宋体"/>
          <w:color w:val="auto"/>
          <w:szCs w:val="21"/>
          <w:highlight w:val="none"/>
        </w:rPr>
        <w:t>（否）</w:t>
      </w:r>
      <w:r>
        <w:rPr>
          <w:rFonts w:hint="eastAsia" w:ascii="宋体" w:hAnsi="宋体"/>
          <w:color w:val="auto"/>
          <w:szCs w:val="21"/>
          <w:highlight w:val="none"/>
        </w:rPr>
        <w:t>接受联合体竞标。</w:t>
      </w:r>
    </w:p>
    <w:bookmarkEnd w:id="32"/>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备注：无</w:t>
      </w:r>
    </w:p>
    <w:p>
      <w:pPr>
        <w:spacing w:line="390" w:lineRule="exact"/>
        <w:ind w:firstLine="481" w:firstLineChars="200"/>
        <w:rPr>
          <w:rFonts w:ascii="宋体" w:hAnsi="宋体" w:cs="宋体"/>
          <w:b/>
          <w:bCs/>
          <w:color w:val="auto"/>
          <w:sz w:val="24"/>
          <w:highlight w:val="none"/>
        </w:rPr>
      </w:pPr>
      <w:bookmarkStart w:id="33" w:name="_Toc35393799"/>
      <w:bookmarkStart w:id="34" w:name="_Toc28359013"/>
      <w:bookmarkStart w:id="35" w:name="_Toc44229879"/>
      <w:bookmarkStart w:id="36" w:name="_Toc28359090"/>
      <w:bookmarkStart w:id="37" w:name="_Toc35393630"/>
      <w:r>
        <w:rPr>
          <w:rFonts w:hint="eastAsia" w:ascii="宋体" w:hAnsi="宋体" w:cs="宋体"/>
          <w:b/>
          <w:bCs/>
          <w:color w:val="auto"/>
          <w:sz w:val="24"/>
          <w:highlight w:val="none"/>
        </w:rPr>
        <w:t>二、申请人的资格</w:t>
      </w:r>
      <w:bookmarkEnd w:id="33"/>
      <w:bookmarkEnd w:id="34"/>
      <w:bookmarkEnd w:id="35"/>
      <w:bookmarkEnd w:id="36"/>
      <w:bookmarkEnd w:id="37"/>
      <w:r>
        <w:rPr>
          <w:rFonts w:hint="eastAsia" w:ascii="宋体" w:hAnsi="宋体" w:cs="宋体"/>
          <w:b/>
          <w:bCs/>
          <w:color w:val="auto"/>
          <w:sz w:val="24"/>
          <w:highlight w:val="none"/>
        </w:rPr>
        <w:t>要求</w:t>
      </w:r>
    </w:p>
    <w:p>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pacing w:line="390" w:lineRule="exact"/>
        <w:ind w:firstLine="420" w:firstLineChars="200"/>
        <w:rPr>
          <w:rFonts w:ascii="宋体" w:hAnsi="宋体"/>
          <w:color w:val="auto"/>
          <w:szCs w:val="21"/>
          <w:highlight w:val="none"/>
        </w:rPr>
      </w:pPr>
      <w:r>
        <w:rPr>
          <w:rFonts w:hint="eastAsia" w:ascii="宋体" w:hAnsi="宋体"/>
          <w:color w:val="auto"/>
          <w:szCs w:val="21"/>
          <w:highlight w:val="none"/>
        </w:rPr>
        <w:t>2.落实政府采购政策需满足的资格要求：专门面向中小企业采购的项目；</w:t>
      </w:r>
    </w:p>
    <w:p>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3.本项目的特定资格要求：无。</w:t>
      </w:r>
    </w:p>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三、获取采购文件</w:t>
      </w:r>
    </w:p>
    <w:p>
      <w:pPr>
        <w:spacing w:line="390" w:lineRule="exact"/>
        <w:ind w:firstLine="420" w:firstLineChars="200"/>
        <w:rPr>
          <w:rFonts w:ascii="宋体" w:hAnsi="宋体" w:cs="宋体"/>
          <w:bCs/>
          <w:color w:val="auto"/>
          <w:kern w:val="0"/>
          <w:szCs w:val="21"/>
          <w:highlight w:val="none"/>
        </w:rPr>
      </w:pPr>
      <w:bookmarkStart w:id="38" w:name="_Toc35393793"/>
      <w:bookmarkStart w:id="39" w:name="_Toc35393624"/>
      <w:bookmarkStart w:id="40" w:name="_Toc28359005"/>
      <w:bookmarkStart w:id="41" w:name="_Toc28359082"/>
      <w:r>
        <w:rPr>
          <w:rFonts w:hint="eastAsia" w:ascii="宋体" w:hAnsi="宋体" w:cs="宋体"/>
          <w:bCs/>
          <w:color w:val="auto"/>
          <w:kern w:val="0"/>
          <w:szCs w:val="21"/>
          <w:highlight w:val="none"/>
        </w:rPr>
        <w:t>时间：2025年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14</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至2025年</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lang w:eastAsia="zh-CN"/>
        </w:rPr>
        <w:t>月</w:t>
      </w:r>
      <w:r>
        <w:rPr>
          <w:rFonts w:hint="eastAsia" w:ascii="宋体" w:hAnsi="宋体" w:cs="宋体"/>
          <w:bCs/>
          <w:color w:val="auto"/>
          <w:kern w:val="0"/>
          <w:szCs w:val="21"/>
          <w:highlight w:val="none"/>
          <w:lang w:val="en-US" w:eastAsia="zh-CN"/>
        </w:rPr>
        <w:t>21</w:t>
      </w:r>
      <w:r>
        <w:rPr>
          <w:rFonts w:hint="eastAsia" w:ascii="宋体" w:hAnsi="宋体" w:cs="宋体"/>
          <w:bCs/>
          <w:color w:val="auto"/>
          <w:kern w:val="0"/>
          <w:szCs w:val="21"/>
          <w:highlight w:val="none"/>
          <w:lang w:eastAsia="zh-CN"/>
        </w:rPr>
        <w:t>日</w:t>
      </w:r>
      <w:r>
        <w:rPr>
          <w:rFonts w:hint="eastAsia" w:ascii="宋体" w:hAnsi="宋体" w:cs="宋体"/>
          <w:bCs/>
          <w:color w:val="auto"/>
          <w:kern w:val="0"/>
          <w:szCs w:val="21"/>
          <w:highlight w:val="none"/>
        </w:rPr>
        <w:t>，每天上午00:00至11:59，下午12:00至23:59（北京时间，法定节假日除外）；</w:t>
      </w:r>
    </w:p>
    <w:p>
      <w:pPr>
        <w:spacing w:line="390" w:lineRule="exact"/>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地点（网址）：</w:t>
      </w:r>
      <w:r>
        <w:rPr>
          <w:rFonts w:hint="eastAsia" w:ascii="宋体" w:hAnsi="宋体" w:cs="宋体"/>
          <w:color w:val="auto"/>
          <w:szCs w:val="21"/>
          <w:highlight w:val="none"/>
        </w:rPr>
        <w:t>广西政府采购云平台（https://www.gcy.zfcg.gxzf.gov.cn/）</w:t>
      </w:r>
    </w:p>
    <w:p>
      <w:pPr>
        <w:pStyle w:val="14"/>
        <w:spacing w:line="390" w:lineRule="exact"/>
        <w:rPr>
          <w:rFonts w:ascii="宋体" w:hAnsi="宋体" w:cs="宋体"/>
          <w:b/>
          <w:bCs/>
          <w:color w:val="auto"/>
          <w:sz w:val="24"/>
          <w:highlight w:val="none"/>
        </w:rPr>
      </w:pPr>
      <w:r>
        <w:rPr>
          <w:rFonts w:hint="eastAsia" w:ascii="宋体" w:hAnsi="宋体" w:cs="宋体"/>
          <w:color w:val="auto"/>
          <w:szCs w:val="21"/>
          <w:highlight w:val="none"/>
        </w:rPr>
        <w:t>　　方式：网上下载。本项目不发放纸质文件，潜在供应商可自行登录广西政府采购云平台下载采购文件，电子响应文件制作需要基于广西政府采购云平台获取的采购文件编制。</w:t>
      </w:r>
    </w:p>
    <w:p>
      <w:pPr>
        <w:snapToGrid w:val="0"/>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售价（元）：0</w:t>
      </w:r>
    </w:p>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四、</w:t>
      </w:r>
      <w:bookmarkEnd w:id="38"/>
      <w:bookmarkEnd w:id="39"/>
      <w:bookmarkEnd w:id="40"/>
      <w:bookmarkEnd w:id="41"/>
      <w:r>
        <w:rPr>
          <w:rFonts w:hint="eastAsia" w:ascii="宋体" w:hAnsi="宋体" w:cs="宋体"/>
          <w:b/>
          <w:bCs/>
          <w:color w:val="auto"/>
          <w:sz w:val="24"/>
          <w:highlight w:val="none"/>
        </w:rPr>
        <w:t>响应文件提交</w:t>
      </w:r>
    </w:p>
    <w:p>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0:00（北京时间）</w:t>
      </w:r>
    </w:p>
    <w:p>
      <w:pPr>
        <w:spacing w:line="39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2、首次响应文件提交地点：广西政府采购云平台（https://www.gcy.zfcg.gxzf.gov.cn/）</w:t>
      </w:r>
    </w:p>
    <w:p>
      <w:pPr>
        <w:spacing w:line="390" w:lineRule="exact"/>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pPr>
        <w:spacing w:line="39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时间：</w:t>
      </w:r>
      <w:r>
        <w:rPr>
          <w:rFonts w:hint="eastAsia" w:ascii="宋体" w:hAnsi="宋体" w:cs="宋体"/>
          <w:bCs/>
          <w:color w:val="auto"/>
          <w:szCs w:val="21"/>
          <w:highlight w:val="none"/>
        </w:rPr>
        <w:t>2025年</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lang w:eastAsia="zh-CN"/>
        </w:rPr>
        <w:t>月</w:t>
      </w:r>
      <w:r>
        <w:rPr>
          <w:rFonts w:hint="eastAsia" w:ascii="宋体" w:hAnsi="宋体" w:cs="宋体"/>
          <w:bCs/>
          <w:color w:val="auto"/>
          <w:szCs w:val="21"/>
          <w:highlight w:val="none"/>
          <w:lang w:val="en-US" w:eastAsia="zh-CN"/>
        </w:rPr>
        <w:t>25</w:t>
      </w:r>
      <w:r>
        <w:rPr>
          <w:rFonts w:hint="eastAsia" w:ascii="宋体" w:hAnsi="宋体" w:cs="宋体"/>
          <w:bCs/>
          <w:color w:val="auto"/>
          <w:szCs w:val="21"/>
          <w:highlight w:val="none"/>
          <w:lang w:eastAsia="zh-CN"/>
        </w:rPr>
        <w:t>日</w:t>
      </w:r>
      <w:r>
        <w:rPr>
          <w:rFonts w:hint="eastAsia" w:ascii="宋体" w:hAnsi="宋体" w:cs="宋体"/>
          <w:bCs/>
          <w:color w:val="auto"/>
          <w:szCs w:val="21"/>
          <w:highlight w:val="none"/>
          <w:lang w:val="en-US" w:eastAsia="zh-CN"/>
        </w:rPr>
        <w:t>14</w:t>
      </w: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0:00（北京时间）</w:t>
      </w:r>
      <w:r>
        <w:rPr>
          <w:rFonts w:hint="eastAsia" w:ascii="宋体" w:hAnsi="宋体" w:cs="宋体"/>
          <w:color w:val="auto"/>
          <w:szCs w:val="21"/>
          <w:highlight w:val="none"/>
        </w:rPr>
        <w:t>后</w:t>
      </w:r>
    </w:p>
    <w:p>
      <w:pPr>
        <w:spacing w:line="39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rPr>
        <w:t>地点：广西政府采购云平台电子开标大厅</w:t>
      </w:r>
    </w:p>
    <w:p>
      <w:pPr>
        <w:spacing w:line="390" w:lineRule="exact"/>
        <w:ind w:firstLine="481" w:firstLineChars="200"/>
        <w:rPr>
          <w:rFonts w:ascii="宋体" w:hAnsi="宋体" w:cs="宋体"/>
          <w:b/>
          <w:bCs/>
          <w:color w:val="auto"/>
          <w:sz w:val="24"/>
          <w:highlight w:val="none"/>
        </w:rPr>
      </w:pPr>
      <w:bookmarkStart w:id="42" w:name="_Toc35393794"/>
      <w:bookmarkStart w:id="43" w:name="_Toc28359084"/>
      <w:bookmarkStart w:id="44" w:name="_Toc28359007"/>
      <w:bookmarkStart w:id="45" w:name="_Toc35393625"/>
      <w:r>
        <w:rPr>
          <w:rFonts w:hint="eastAsia" w:ascii="宋体" w:hAnsi="宋体" w:cs="宋体"/>
          <w:b/>
          <w:bCs/>
          <w:color w:val="auto"/>
          <w:sz w:val="24"/>
          <w:highlight w:val="none"/>
        </w:rPr>
        <w:t>六、公告期限</w:t>
      </w:r>
      <w:bookmarkEnd w:id="42"/>
      <w:bookmarkEnd w:id="43"/>
      <w:bookmarkEnd w:id="44"/>
      <w:bookmarkEnd w:id="45"/>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pacing w:line="390" w:lineRule="exact"/>
        <w:ind w:firstLine="481" w:firstLineChars="200"/>
        <w:rPr>
          <w:rFonts w:ascii="宋体" w:hAnsi="宋体" w:cs="宋体"/>
          <w:b/>
          <w:bCs/>
          <w:color w:val="auto"/>
          <w:sz w:val="24"/>
          <w:highlight w:val="none"/>
        </w:rPr>
      </w:pPr>
      <w:bookmarkStart w:id="46" w:name="_Toc35393626"/>
      <w:bookmarkStart w:id="47" w:name="_Toc35393795"/>
      <w:r>
        <w:rPr>
          <w:rFonts w:hint="eastAsia" w:ascii="宋体" w:hAnsi="宋体" w:cs="宋体"/>
          <w:b/>
          <w:bCs/>
          <w:color w:val="auto"/>
          <w:sz w:val="24"/>
          <w:highlight w:val="none"/>
        </w:rPr>
        <w:t>七、其他补充事宜</w:t>
      </w:r>
      <w:bookmarkEnd w:id="46"/>
      <w:bookmarkEnd w:id="47"/>
    </w:p>
    <w:p>
      <w:pPr>
        <w:spacing w:line="390" w:lineRule="exact"/>
        <w:ind w:firstLine="420" w:firstLineChars="200"/>
        <w:rPr>
          <w:rFonts w:ascii="宋体" w:hAnsi="宋体" w:cs="宋体"/>
          <w:color w:val="auto"/>
          <w:kern w:val="0"/>
          <w:szCs w:val="21"/>
          <w:highlight w:val="none"/>
        </w:rPr>
      </w:pPr>
      <w:bookmarkStart w:id="48" w:name="_Hlk37429585"/>
      <w:r>
        <w:rPr>
          <w:rFonts w:hint="eastAsia" w:ascii="宋体" w:hAnsi="宋体" w:cs="宋体"/>
          <w:color w:val="auto"/>
          <w:kern w:val="0"/>
          <w:szCs w:val="21"/>
          <w:highlight w:val="none"/>
        </w:rPr>
        <w:t>1.磋商保证金：</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磋商保证金金额：¥</w:t>
      </w:r>
      <w:r>
        <w:rPr>
          <w:rFonts w:hint="eastAsia" w:ascii="宋体" w:hAnsi="宋体" w:cs="宋体"/>
          <w:color w:val="auto"/>
          <w:kern w:val="0"/>
          <w:szCs w:val="21"/>
          <w:highlight w:val="none"/>
          <w:lang w:eastAsia="zh-CN"/>
        </w:rPr>
        <w:t>10000</w:t>
      </w:r>
      <w:r>
        <w:rPr>
          <w:rFonts w:hint="eastAsia" w:ascii="宋体" w:hAnsi="宋体" w:cs="宋体"/>
          <w:color w:val="auto"/>
          <w:kern w:val="0"/>
          <w:szCs w:val="21"/>
          <w:highlight w:val="none"/>
        </w:rPr>
        <w:t>.00元</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磋商保证金的缴纳方式：银行转账、支票、汇票、本票或者金融机构、担保机构出具的保函等非现金形式提交。采用银行转账方式的，在首次响应文件提交截止时间前交至采购代理机构指定账户并且到账；缴纳磋商保证金指定账户的信息：</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南宁华鑫招标代理有限公司</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广西北部湾银行股份有限公司营业部</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805331302700001</w:t>
      </w:r>
    </w:p>
    <w:p>
      <w:pPr>
        <w:spacing w:line="39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开户行行号：</w:t>
      </w:r>
      <w:r>
        <w:rPr>
          <w:rFonts w:hint="eastAsia" w:ascii="宋体" w:hAnsi="宋体" w:cs="宋体"/>
          <w:color w:val="auto"/>
          <w:kern w:val="0"/>
          <w:szCs w:val="21"/>
          <w:highlight w:val="none"/>
          <w:lang w:val="en-US" w:eastAsia="zh-CN"/>
        </w:rPr>
        <w:t>/</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采用支票、汇票、本票或者保函等方式的，在首次响应文件提交截止时间前，供应商必须提交单独密封的支票、汇票、本票或者保函（电子保函除外）等原件给采购代理机构。否则视为无效磋商保证金。</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bookmarkStart w:id="49" w:name="_Hlk37429595"/>
      <w:r>
        <w:rPr>
          <w:rFonts w:hint="eastAsia" w:ascii="宋体" w:hAnsi="宋体" w:cs="宋体"/>
          <w:color w:val="auto"/>
          <w:kern w:val="0"/>
          <w:szCs w:val="21"/>
          <w:highlight w:val="none"/>
        </w:rPr>
        <w:t>网上查询地址</w:t>
      </w:r>
    </w:p>
    <w:bookmarkEnd w:id="48"/>
    <w:bookmarkEnd w:id="49"/>
    <w:p>
      <w:pPr>
        <w:spacing w:line="390" w:lineRule="exact"/>
        <w:ind w:firstLine="420" w:firstLineChars="200"/>
        <w:rPr>
          <w:rFonts w:ascii="宋体" w:hAnsi="宋体" w:cs="宋体"/>
          <w:color w:val="auto"/>
          <w:kern w:val="0"/>
          <w:szCs w:val="21"/>
          <w:highlight w:val="none"/>
        </w:rPr>
      </w:pPr>
      <w:bookmarkStart w:id="50" w:name="_Hlk37429674"/>
      <w:r>
        <w:rPr>
          <w:rFonts w:hint="eastAsia" w:ascii="宋体" w:hAnsi="宋体" w:cs="宋体"/>
          <w:color w:val="auto"/>
          <w:kern w:val="0"/>
          <w:szCs w:val="21"/>
          <w:highlight w:val="none"/>
        </w:rPr>
        <w:t>http://www.ccgp.gov.cn/（中国政府采购网）、http://www.ccgp-guangxi.gov.cn/ (广西政府采购网)。</w:t>
      </w:r>
    </w:p>
    <w:bookmarkEnd w:id="50"/>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 本项目需要落实的政府采购政策</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pPr>
        <w:spacing w:line="390" w:lineRule="exact"/>
        <w:ind w:firstLine="421"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6.在线竞标的有关说明：</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（1）响应文件提交方式：本项目为全流程电子化项目，通过广西政府采购云平台（https://www.gcy.zfcg.gxzf.gov.cn/）实行在线电子响应，</w:t>
      </w:r>
      <w:r>
        <w:rPr>
          <w:rFonts w:hint="eastAsia"/>
          <w:color w:val="auto"/>
          <w:highlight w:val="none"/>
        </w:rPr>
        <w:t>供应商应先安装广西政府采购云平台新版客户端（新版客户端下载路径：广西政府采购网（访问地址http://zfcg.gxzf.gov.cn/）—办事服务—下载专区）</w:t>
      </w:r>
      <w:r>
        <w:rPr>
          <w:rFonts w:hint="eastAsia" w:ascii="宋体" w:hAnsi="宋体" w:cs="宋体"/>
          <w:color w:val="auto"/>
          <w:kern w:val="0"/>
          <w:szCs w:val="21"/>
          <w:highlight w:val="none"/>
        </w:rPr>
        <w:t>，并按照本项目采购文件和广西政府采购云平台的要求编制、加密后在响应文件提交截止时间前通过网络上传至广西政府采购云平台，</w:t>
      </w:r>
      <w:r>
        <w:rPr>
          <w:rFonts w:hint="eastAsia" w:ascii="宋体" w:hAnsi="宋体" w:cs="宋体"/>
          <w:b/>
          <w:bCs/>
          <w:color w:val="auto"/>
          <w:kern w:val="0"/>
          <w:szCs w:val="21"/>
          <w:highlight w:val="none"/>
        </w:rPr>
        <w:t>供应商在广西政府采购云平台提交电子版响应文件时，请填写参加远程开标活动经办人联系方式</w:t>
      </w:r>
      <w:r>
        <w:rPr>
          <w:rFonts w:hint="eastAsia" w:ascii="宋体" w:hAnsi="宋体" w:cs="宋体"/>
          <w:color w:val="auto"/>
          <w:kern w:val="0"/>
          <w:szCs w:val="21"/>
          <w:highlight w:val="none"/>
        </w:rPr>
        <w:t>。</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（2）未进行网上注册并办理数字证书（CA认证）的供应商将无法参与本项目政府采购活动，潜在供应商应当在首次响应文件提交截止时间前，完成电子交易平台上的CA数字证书办理及响应文件的提交。</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pPr>
        <w:spacing w:line="390" w:lineRule="exact"/>
        <w:ind w:firstLine="421"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文件提交截止时间前未完成上传、递交的，视为撤回响应文件。响应文件提交截止时间以后上传递交的响应文件的，广西政府采购云平台将予以拒收。</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（4）CA证书在线解密：首次响应文件开启时，需要供应商携带制作响应文件时用来加密的有效数字证书（CA认证）登录广西政府采购云平台电子开标大厅现场按规定时间对加密的响应文件进行解密。</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（5）供应商需要在具备有摄像头及语音功能且互联网网络状况良好的电脑登录广西政府采购云平台远程开标大厅参与本次磋商，否则后果自负。</w:t>
      </w:r>
    </w:p>
    <w:p>
      <w:pPr>
        <w:spacing w:line="39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7. 若对项目采购电子交易系统操作有疑问，可登录广西政府采购云平台（https://www.gcy.zfcg.gxzf.gov.cn/），点击右侧咨询小采，获取采小蜜智能服务管家帮助，或拨打广西政府采购云平台服务热线95763获取热线服务帮助。 </w:t>
      </w:r>
    </w:p>
    <w:p>
      <w:pPr>
        <w:spacing w:line="390" w:lineRule="exact"/>
        <w:ind w:firstLine="481" w:firstLineChars="200"/>
        <w:rPr>
          <w:rFonts w:ascii="黑体" w:hAnsi="黑体" w:eastAsia="黑体" w:cs="宋体"/>
          <w:bCs/>
          <w:color w:val="auto"/>
          <w:sz w:val="24"/>
          <w:highlight w:val="none"/>
        </w:rPr>
      </w:pPr>
      <w:r>
        <w:rPr>
          <w:rFonts w:hint="eastAsia" w:ascii="黑体" w:hAnsi="黑体" w:eastAsia="黑体" w:cs="宋体"/>
          <w:b/>
          <w:color w:val="auto"/>
          <w:kern w:val="44"/>
          <w:sz w:val="24"/>
          <w:highlight w:val="none"/>
        </w:rPr>
        <w:t>八、凡对本次采购提出询问，请按</w:t>
      </w:r>
      <w:r>
        <w:rPr>
          <w:rFonts w:ascii="黑体" w:hAnsi="黑体" w:eastAsia="黑体" w:cs="宋体"/>
          <w:b/>
          <w:color w:val="auto"/>
          <w:kern w:val="44"/>
          <w:sz w:val="24"/>
          <w:highlight w:val="none"/>
        </w:rPr>
        <w:t>以下方式</w:t>
      </w:r>
      <w:r>
        <w:rPr>
          <w:rFonts w:hint="eastAsia" w:ascii="黑体" w:hAnsi="黑体" w:eastAsia="黑体" w:cs="宋体"/>
          <w:b/>
          <w:color w:val="auto"/>
          <w:kern w:val="44"/>
          <w:sz w:val="24"/>
          <w:highlight w:val="none"/>
        </w:rPr>
        <w:t>联系。</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名称：广西壮族自治区林业局</w:t>
      </w:r>
    </w:p>
    <w:p>
      <w:pPr>
        <w:spacing w:line="360" w:lineRule="auto"/>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地址：广西南宁市青秀区云景路21号自治区林业局</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 xml:space="preserve"> 陆新婷</w:t>
      </w:r>
    </w:p>
    <w:p>
      <w:pPr>
        <w:spacing w:line="360" w:lineRule="auto"/>
        <w:ind w:firstLine="630" w:firstLineChars="300"/>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项目联系方式：</w:t>
      </w:r>
      <w:r>
        <w:rPr>
          <w:rFonts w:hint="eastAsia" w:ascii="宋体" w:hAnsi="宋体" w:cs="宋体"/>
          <w:color w:val="auto"/>
          <w:kern w:val="0"/>
          <w:szCs w:val="21"/>
          <w:highlight w:val="none"/>
          <w:lang w:val="en-US" w:eastAsia="zh-CN"/>
        </w:rPr>
        <w:t xml:space="preserve"> </w:t>
      </w:r>
      <w:r>
        <w:rPr>
          <w:rFonts w:hint="eastAsia"/>
          <w:color w:val="auto"/>
          <w:highlight w:val="none"/>
          <w:lang w:val="en-US" w:eastAsia="zh-CN"/>
        </w:rPr>
        <w:t>0771-6783361</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南宁华鑫招标代理有限公司</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lang w:eastAsia="zh-CN"/>
        </w:rPr>
        <w:t>广西南宁市良庆区龙堤路69号滨江御景b栋2层</w:t>
      </w:r>
    </w:p>
    <w:p>
      <w:pPr>
        <w:spacing w:line="360" w:lineRule="auto"/>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lang w:val="en-US" w:eastAsia="zh-CN"/>
        </w:rPr>
        <w:t>张晗</w:t>
      </w:r>
    </w:p>
    <w:p>
      <w:pPr>
        <w:spacing w:line="360" w:lineRule="auto"/>
        <w:ind w:firstLine="630" w:firstLineChars="300"/>
        <w:rPr>
          <w:color w:val="auto"/>
          <w:sz w:val="32"/>
          <w:szCs w:val="32"/>
          <w:highlight w:val="none"/>
        </w:rPr>
      </w:pPr>
      <w:r>
        <w:rPr>
          <w:rFonts w:hint="eastAsia" w:ascii="宋体" w:hAnsi="宋体" w:cs="宋体"/>
          <w:color w:val="auto"/>
          <w:kern w:val="0"/>
          <w:szCs w:val="21"/>
          <w:highlight w:val="none"/>
        </w:rPr>
        <w:t>项目联系方式：17600070170/0771-3380218</w:t>
      </w:r>
    </w:p>
    <w:p>
      <w:pPr>
        <w:rPr>
          <w:rFonts w:ascii="Cambria" w:hAnsi="Cambria"/>
          <w:color w:val="auto"/>
          <w:sz w:val="32"/>
          <w:szCs w:val="32"/>
          <w:highlight w:val="none"/>
        </w:rPr>
      </w:pPr>
      <w:bookmarkStart w:id="51" w:name="_Toc7184"/>
      <w:bookmarkStart w:id="52" w:name="_Toc22325"/>
      <w:bookmarkStart w:id="53" w:name="_Toc26836"/>
      <w:bookmarkStart w:id="54" w:name="_Toc25520"/>
      <w:bookmarkStart w:id="55" w:name="_Toc80886926"/>
      <w:bookmarkStart w:id="56" w:name="_Toc9127"/>
      <w:bookmarkStart w:id="57" w:name="_Toc11093"/>
      <w:bookmarkStart w:id="58" w:name="_Toc22760"/>
      <w:r>
        <w:rPr>
          <w:rFonts w:hint="eastAsia" w:ascii="Cambria" w:hAnsi="Cambria"/>
          <w:color w:val="auto"/>
          <w:sz w:val="32"/>
          <w:szCs w:val="32"/>
          <w:highlight w:val="none"/>
        </w:rPr>
        <w:br w:type="page"/>
      </w:r>
    </w:p>
    <w:p>
      <w:pPr>
        <w:pStyle w:val="3"/>
        <w:spacing w:before="100" w:after="90" w:line="240" w:lineRule="auto"/>
        <w:jc w:val="center"/>
        <w:rPr>
          <w:rFonts w:ascii="Cambria" w:hAnsi="Cambria"/>
          <w:bCs w:val="0"/>
          <w:color w:val="auto"/>
          <w:sz w:val="32"/>
          <w:szCs w:val="32"/>
          <w:highlight w:val="none"/>
        </w:rPr>
      </w:pPr>
      <w:bookmarkStart w:id="59" w:name="OLE_LINK6"/>
      <w:r>
        <w:rPr>
          <w:rFonts w:hint="eastAsia" w:ascii="Cambria" w:hAnsi="Cambria"/>
          <w:bCs w:val="0"/>
          <w:color w:val="auto"/>
          <w:sz w:val="32"/>
          <w:szCs w:val="32"/>
          <w:highlight w:val="none"/>
        </w:rPr>
        <w:t>第二章 采购需求</w:t>
      </w:r>
      <w:bookmarkEnd w:id="51"/>
      <w:bookmarkEnd w:id="52"/>
      <w:bookmarkEnd w:id="53"/>
      <w:bookmarkEnd w:id="54"/>
      <w:bookmarkEnd w:id="55"/>
      <w:bookmarkEnd w:id="56"/>
      <w:bookmarkEnd w:id="57"/>
    </w:p>
    <w:bookmarkEnd w:id="58"/>
    <w:bookmarkEnd w:id="59"/>
    <w:p>
      <w:pPr>
        <w:spacing w:line="450" w:lineRule="exact"/>
        <w:jc w:val="left"/>
        <w:rPr>
          <w:rFonts w:cs="宋体"/>
          <w:b/>
          <w:bCs/>
          <w:color w:val="auto"/>
          <w:szCs w:val="21"/>
          <w:highlight w:val="none"/>
        </w:rPr>
      </w:pPr>
      <w:r>
        <w:rPr>
          <w:rFonts w:hint="eastAsia" w:cs="宋体"/>
          <w:b/>
          <w:bCs/>
          <w:color w:val="auto"/>
          <w:szCs w:val="21"/>
          <w:highlight w:val="none"/>
        </w:rPr>
        <w:t>说明：</w:t>
      </w:r>
    </w:p>
    <w:p>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1、为落实政府采购政策需满足的要求：</w:t>
      </w:r>
    </w:p>
    <w:p>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（1）本竞争性磋商文件所称中小企业必须符合《政府采购促进中小企业发展管理办法》（财库〔2020〕46号）的规定。</w:t>
      </w:r>
    </w:p>
    <w:p>
      <w:pPr>
        <w:spacing w:line="45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有效期内的节能产品认证证书复印件（加盖供应商公章），</w:t>
      </w:r>
      <w:r>
        <w:rPr>
          <w:rFonts w:hint="eastAsia" w:ascii="宋体" w:hAnsi="宋体" w:cs="宋体"/>
          <w:b/>
          <w:bCs/>
          <w:color w:val="auto"/>
          <w:szCs w:val="21"/>
          <w:highlight w:val="none"/>
        </w:rPr>
        <w:t>否则响应文件按无效处理</w:t>
      </w:r>
      <w:r>
        <w:rPr>
          <w:rFonts w:hint="eastAsia" w:ascii="宋体" w:hAnsi="宋体" w:cs="宋体"/>
          <w:color w:val="auto"/>
          <w:szCs w:val="21"/>
          <w:highlight w:val="none"/>
        </w:rPr>
        <w:t xml:space="preserve">。如本项目包含的配套货物属于品目清单内非标注“★”的产品时，应优先采购，具体详见“第四章 </w:t>
      </w:r>
      <w:r>
        <w:rPr>
          <w:rStyle w:val="38"/>
          <w:rFonts w:hint="eastAsia" w:ascii="宋体" w:hAnsi="宋体" w:cs="宋体"/>
          <w:color w:val="auto"/>
          <w:highlight w:val="none"/>
        </w:rPr>
        <w:t>评审程序、评审方法和评审标准</w:t>
      </w:r>
      <w:r>
        <w:rPr>
          <w:rFonts w:hint="eastAsia" w:ascii="宋体" w:hAnsi="宋体" w:cs="宋体"/>
          <w:color w:val="auto"/>
          <w:szCs w:val="21"/>
          <w:highlight w:val="none"/>
        </w:rPr>
        <w:t>”。</w:t>
      </w:r>
    </w:p>
    <w:p>
      <w:pPr>
        <w:spacing w:line="450" w:lineRule="exact"/>
        <w:ind w:firstLine="413" w:firstLineChars="196"/>
        <w:rPr>
          <w:rFonts w:ascii="宋体" w:hAnsi="宋体" w:cs="宋体"/>
          <w:b/>
          <w:bCs/>
          <w:color w:val="auto"/>
          <w:szCs w:val="21"/>
          <w:highlight w:val="none"/>
        </w:rPr>
      </w:pPr>
      <w:r>
        <w:rPr>
          <w:rFonts w:hint="eastAsia" w:ascii="宋体" w:hAnsi="宋体" w:cs="宋体"/>
          <w:b/>
          <w:bCs/>
          <w:color w:val="auto"/>
          <w:szCs w:val="21"/>
          <w:highlight w:val="none"/>
        </w:rPr>
        <w:t>2、“实质性要求”是指磋商文件中已经指明不满足响应文件则按无效响应处理的条款，或者不能负偏离的条款，或者采购需求中带“▲”的条款。</w:t>
      </w:r>
    </w:p>
    <w:p>
      <w:pPr>
        <w:pStyle w:val="14"/>
        <w:spacing w:line="450" w:lineRule="exact"/>
        <w:ind w:firstLine="420" w:firstLineChars="200"/>
        <w:rPr>
          <w:rFonts w:ascii="宋体" w:hAnsi="宋体" w:cs="宋体"/>
          <w:color w:val="auto"/>
          <w:highlight w:val="none"/>
        </w:rPr>
      </w:pPr>
      <w:r>
        <w:rPr>
          <w:rFonts w:hint="eastAsia" w:ascii="宋体" w:hAnsi="宋体" w:cs="宋体"/>
          <w:color w:val="auto"/>
          <w:highlight w:val="none"/>
        </w:rPr>
        <w:t>3、如竞标产品存在侵犯他人的知识产权或者专利成果行为的，应承担相应法律责任。</w:t>
      </w:r>
    </w:p>
    <w:p>
      <w:pPr>
        <w:pStyle w:val="14"/>
        <w:spacing w:line="450" w:lineRule="exact"/>
        <w:ind w:firstLine="420" w:firstLineChars="200"/>
        <w:rPr>
          <w:color w:val="auto"/>
          <w:highlight w:val="none"/>
        </w:rPr>
      </w:pPr>
      <w:r>
        <w:rPr>
          <w:rFonts w:hint="eastAsia" w:ascii="宋体" w:hAnsi="宋体" w:cs="宋体"/>
          <w:color w:val="auto"/>
          <w:szCs w:val="21"/>
          <w:highlight w:val="none"/>
        </w:rPr>
        <w:t>4、</w:t>
      </w:r>
      <w:r>
        <w:rPr>
          <w:rFonts w:hint="eastAsia"/>
          <w:color w:val="auto"/>
          <w:highlight w:val="none"/>
        </w:rPr>
        <w:t>供应商必须自行为其竞标产品侵犯他人的知识产权或者专利成果的行为承担相应法律责任。</w:t>
      </w:r>
    </w:p>
    <w:p>
      <w:pPr>
        <w:pStyle w:val="14"/>
        <w:spacing w:line="450" w:lineRule="exact"/>
        <w:ind w:firstLine="420" w:firstLineChars="200"/>
        <w:rPr>
          <w:rFonts w:ascii="宋体" w:hAnsi="宋体" w:cs="宋体"/>
          <w:i/>
          <w:iCs/>
          <w:color w:val="auto"/>
          <w:highlight w:val="none"/>
          <w:u w:val="single"/>
        </w:rPr>
      </w:pPr>
      <w:r>
        <w:rPr>
          <w:rFonts w:hint="eastAsia" w:ascii="宋体" w:hAnsi="宋体" w:cs="宋体"/>
          <w:color w:val="auto"/>
          <w:highlight w:val="none"/>
        </w:rPr>
        <w:t>5、采购内容所属行业：</w:t>
      </w:r>
      <w:r>
        <w:rPr>
          <w:rFonts w:hint="eastAsia" w:ascii="宋体" w:hAnsi="宋体" w:cs="宋体"/>
          <w:b/>
          <w:bCs/>
          <w:color w:val="auto"/>
          <w:szCs w:val="21"/>
          <w:highlight w:val="none"/>
          <w:u w:val="single"/>
        </w:rPr>
        <w:t>其他未列明行业。</w:t>
      </w:r>
    </w:p>
    <w:p>
      <w:pPr>
        <w:pStyle w:val="14"/>
        <w:spacing w:line="450" w:lineRule="exact"/>
        <w:ind w:firstLine="420" w:firstLineChars="200"/>
        <w:rPr>
          <w:rFonts w:ascii="宋体" w:hAnsi="宋体" w:cs="宋体"/>
          <w:i/>
          <w:iCs/>
          <w:color w:val="auto"/>
          <w:highlight w:val="none"/>
          <w:u w:val="single"/>
        </w:rPr>
      </w:pPr>
    </w:p>
    <w:tbl>
      <w:tblPr>
        <w:tblStyle w:val="31"/>
        <w:tblW w:w="9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596"/>
        <w:gridCol w:w="1136"/>
        <w:gridCol w:w="944"/>
        <w:gridCol w:w="6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9650" w:type="dxa"/>
            <w:gridSpan w:val="5"/>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hAnsi="宋体" w:cs="宋体"/>
                <w:color w:val="auto"/>
                <w:szCs w:val="21"/>
                <w:highlight w:val="none"/>
              </w:rPr>
            </w:pPr>
            <w:r>
              <w:rPr>
                <w:rFonts w:hint="eastAsia" w:ascii="宋体" w:hAnsi="宋体" w:cs="宋体"/>
                <w:b/>
                <w:bCs/>
                <w:color w:val="auto"/>
                <w:szCs w:val="21"/>
                <w:highlight w:val="none"/>
              </w:rPr>
              <w:t>分标：/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Merge w:val="restart"/>
            <w:tcBorders>
              <w:top w:val="single" w:color="auto" w:sz="4" w:space="0"/>
            </w:tcBorders>
            <w:vAlign w:val="center"/>
          </w:tcPr>
          <w:p>
            <w:pPr>
              <w:spacing w:line="380" w:lineRule="exact"/>
              <w:jc w:val="center"/>
              <w:rPr>
                <w:rFonts w:ascii="宋体" w:hAnsi="宋体" w:cs="宋体"/>
                <w:b/>
                <w:bCs/>
                <w:color w:val="auto"/>
                <w:szCs w:val="21"/>
                <w:highlight w:val="none"/>
              </w:rPr>
            </w:pPr>
            <w:r>
              <w:rPr>
                <w:rFonts w:hint="eastAsia" w:ascii="宋体" w:hAnsi="宋体" w:cs="宋体"/>
                <w:b/>
                <w:bCs/>
                <w:color w:val="auto"/>
                <w:szCs w:val="21"/>
                <w:highlight w:val="none"/>
              </w:rPr>
              <w:t>需求一览表</w:t>
            </w:r>
          </w:p>
        </w:tc>
        <w:tc>
          <w:tcPr>
            <w:tcW w:w="596"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136"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944"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数量及单位</w:t>
            </w:r>
          </w:p>
        </w:tc>
        <w:tc>
          <w:tcPr>
            <w:tcW w:w="6551" w:type="dxa"/>
            <w:tcBorders>
              <w:top w:val="single" w:color="auto" w:sz="4" w:space="0"/>
            </w:tcBorders>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3" w:type="dxa"/>
            <w:vMerge w:val="continue"/>
            <w:vAlign w:val="center"/>
          </w:tcPr>
          <w:p>
            <w:pPr>
              <w:spacing w:line="380" w:lineRule="exact"/>
              <w:jc w:val="center"/>
              <w:rPr>
                <w:rFonts w:ascii="宋体" w:hAnsi="宋体" w:cs="宋体"/>
                <w:color w:val="auto"/>
                <w:szCs w:val="21"/>
                <w:highlight w:val="none"/>
              </w:rPr>
            </w:pPr>
          </w:p>
        </w:tc>
        <w:tc>
          <w:tcPr>
            <w:tcW w:w="596" w:type="dxa"/>
            <w:vAlign w:val="center"/>
          </w:tcPr>
          <w:p>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136" w:type="dxa"/>
            <w:vAlign w:val="center"/>
          </w:tcPr>
          <w:p>
            <w:pPr>
              <w:snapToGrid w:val="0"/>
              <w:jc w:val="center"/>
              <w:outlineLvl w:val="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广西森林可持续经营年度验收</w:t>
            </w:r>
          </w:p>
        </w:tc>
        <w:tc>
          <w:tcPr>
            <w:tcW w:w="944" w:type="dxa"/>
            <w:vAlign w:val="center"/>
          </w:tcPr>
          <w:p>
            <w:pPr>
              <w:snapToGrid w:val="0"/>
              <w:jc w:val="center"/>
              <w:outlineLvl w:val="0"/>
              <w:rPr>
                <w:rFonts w:ascii="宋体" w:hAnsi="宋体" w:cs="宋体"/>
                <w:color w:val="auto"/>
                <w:szCs w:val="21"/>
                <w:highlight w:val="none"/>
              </w:rPr>
            </w:pPr>
            <w:r>
              <w:rPr>
                <w:rFonts w:hint="eastAsia" w:ascii="宋体" w:hAnsi="宋体" w:cs="宋体"/>
                <w:color w:val="auto"/>
                <w:szCs w:val="21"/>
                <w:highlight w:val="none"/>
              </w:rPr>
              <w:t>1项</w:t>
            </w:r>
          </w:p>
        </w:tc>
        <w:tc>
          <w:tcPr>
            <w:tcW w:w="6551" w:type="dxa"/>
            <w:vAlign w:val="center"/>
          </w:tcPr>
          <w:p>
            <w:pPr>
              <w:spacing w:line="400" w:lineRule="exact"/>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一、项目内容：</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color w:val="auto"/>
                <w:highlight w:val="none"/>
              </w:rPr>
              <w:t>1</w:t>
            </w:r>
            <w:r>
              <w:rPr>
                <w:rFonts w:hint="eastAsia" w:ascii="宋体" w:hAnsi="宋体" w:eastAsia="宋体" w:cs="宋体"/>
                <w:color w:val="auto"/>
                <w:kern w:val="2"/>
                <w:sz w:val="21"/>
                <w:szCs w:val="24"/>
                <w:highlight w:val="none"/>
                <w:lang w:val="en-US" w:eastAsia="zh-CN" w:bidi="ar-SA"/>
              </w:rPr>
              <w:t>.组建专家团队，指导森林可持续经营方案与作业设计编制；</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2.组织专业技术力量审查修正试点任务落地上图，含边界线修正、属性因子间的逻辑关系等；</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 xml:space="preserve">3.编制成效监测调查技术指南、编制年度任务成效监测布设方案、管理成效样地监测数据； </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4.根据试点设计内容和广西实际情况，提出可突破现行技术规程中有关于抚育强度和抚育间隔期等限制指标；</w:t>
            </w:r>
          </w:p>
          <w:p>
            <w:pPr>
              <w:pStyle w:val="22"/>
              <w:spacing w:line="400" w:lineRule="exac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5.按要求开展年度验收核查工作；</w:t>
            </w:r>
          </w:p>
          <w:p>
            <w:pPr>
              <w:pStyle w:val="22"/>
              <w:spacing w:line="400" w:lineRule="exact"/>
              <w:rPr>
                <w:color w:val="auto"/>
                <w:highlight w:val="none"/>
              </w:rPr>
            </w:pPr>
            <w:r>
              <w:rPr>
                <w:rFonts w:hint="eastAsia" w:ascii="宋体" w:hAnsi="宋体" w:eastAsia="宋体" w:cs="宋体"/>
                <w:color w:val="auto"/>
                <w:kern w:val="2"/>
                <w:sz w:val="21"/>
                <w:szCs w:val="24"/>
                <w:highlight w:val="none"/>
                <w:lang w:val="en-US" w:eastAsia="zh-CN" w:bidi="ar-SA"/>
              </w:rPr>
              <w:t>6.汇总2023-2025年森林可持续经营试点模式，凝炼示范样板。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3" w:type="dxa"/>
            <w:vAlign w:val="center"/>
          </w:tcPr>
          <w:p>
            <w:pPr>
              <w:pStyle w:val="22"/>
              <w:spacing w:line="360" w:lineRule="exact"/>
              <w:jc w:val="center"/>
              <w:rPr>
                <w:rFonts w:ascii="宋体" w:hAnsi="宋体" w:cs="宋体"/>
                <w:color w:val="auto"/>
                <w:szCs w:val="21"/>
                <w:highlight w:val="none"/>
              </w:rPr>
            </w:pPr>
            <w:r>
              <w:rPr>
                <w:rFonts w:hint="eastAsia" w:ascii="宋体" w:hAnsi="宋体" w:cs="宋体"/>
                <w:b/>
                <w:bCs/>
                <w:color w:val="auto"/>
                <w:sz w:val="21"/>
                <w:szCs w:val="21"/>
                <w:highlight w:val="none"/>
              </w:rPr>
              <w:t>商务条款</w:t>
            </w:r>
          </w:p>
        </w:tc>
        <w:tc>
          <w:tcPr>
            <w:tcW w:w="9227" w:type="dxa"/>
            <w:gridSpan w:val="4"/>
            <w:vAlign w:val="center"/>
          </w:tcPr>
          <w:p>
            <w:pPr>
              <w:widowControl/>
              <w:rPr>
                <w:rFonts w:ascii="宋体" w:hAnsi="宋体" w:cs="宋体"/>
                <w:b/>
                <w:bCs/>
                <w:color w:val="auto"/>
                <w:szCs w:val="21"/>
                <w:highlight w:val="none"/>
              </w:rPr>
            </w:pP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付款方式：</w:t>
            </w:r>
          </w:p>
          <w:p>
            <w:pPr>
              <w:widowControl/>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签订合同后</w:t>
            </w:r>
            <w:r>
              <w:rPr>
                <w:rFonts w:hint="eastAsia"/>
                <w:color w:val="auto"/>
                <w:highlight w:val="none"/>
                <w:lang w:val="en-US" w:eastAsia="zh-CN"/>
              </w:rPr>
              <w:t>1</w:t>
            </w:r>
            <w:r>
              <w:rPr>
                <w:rFonts w:hint="eastAsia" w:ascii="宋体" w:hAnsi="宋体" w:cs="宋体"/>
                <w:color w:val="auto"/>
                <w:szCs w:val="21"/>
                <w:highlight w:val="none"/>
                <w:lang w:val="en-US" w:eastAsia="zh-CN"/>
              </w:rPr>
              <w:t>0个工作日内，采购人向成交供应商</w:t>
            </w:r>
            <w:r>
              <w:rPr>
                <w:rFonts w:hint="eastAsia" w:ascii="宋体" w:hAnsi="宋体" w:cs="宋体"/>
                <w:color w:val="auto"/>
                <w:szCs w:val="21"/>
                <w:highlight w:val="none"/>
              </w:rPr>
              <w:t>支付合同价款的50%</w:t>
            </w:r>
            <w:r>
              <w:rPr>
                <w:rFonts w:hint="eastAsia" w:ascii="宋体" w:hAnsi="宋体" w:cs="宋体"/>
                <w:color w:val="auto"/>
                <w:szCs w:val="21"/>
                <w:highlight w:val="none"/>
                <w:lang w:eastAsia="zh-CN"/>
              </w:rPr>
              <w:t>；</w:t>
            </w:r>
          </w:p>
          <w:p>
            <w:pPr>
              <w:widowControl/>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2.2025年8月底前成交供应商</w:t>
            </w:r>
            <w:r>
              <w:rPr>
                <w:rFonts w:hint="eastAsia" w:ascii="宋体" w:hAnsi="宋体" w:cs="宋体"/>
                <w:color w:val="auto"/>
                <w:szCs w:val="21"/>
                <w:highlight w:val="none"/>
              </w:rPr>
              <w:t>提交成效监测调查技术指南和年度任务成效监测布设方案编制</w:t>
            </w:r>
            <w:r>
              <w:rPr>
                <w:rFonts w:hint="eastAsia" w:ascii="宋体" w:hAnsi="宋体" w:cs="宋体"/>
                <w:color w:val="auto"/>
                <w:szCs w:val="21"/>
                <w:highlight w:val="none"/>
                <w:lang w:eastAsia="zh-CN"/>
              </w:rPr>
              <w:t>后，</w:t>
            </w:r>
            <w:r>
              <w:rPr>
                <w:rFonts w:hint="eastAsia" w:ascii="宋体" w:hAnsi="宋体" w:cs="宋体"/>
                <w:color w:val="auto"/>
                <w:szCs w:val="21"/>
                <w:highlight w:val="none"/>
                <w:lang w:val="en-US" w:eastAsia="zh-CN"/>
              </w:rPr>
              <w:t>采购人向成交供应商</w:t>
            </w:r>
            <w:r>
              <w:rPr>
                <w:rFonts w:hint="eastAsia" w:ascii="宋体" w:hAnsi="宋体" w:cs="宋体"/>
                <w:color w:val="auto"/>
                <w:szCs w:val="21"/>
                <w:highlight w:val="none"/>
              </w:rPr>
              <w:t>支付合同价款项的30%</w:t>
            </w:r>
            <w:r>
              <w:rPr>
                <w:rFonts w:hint="eastAsia" w:ascii="宋体" w:hAnsi="宋体" w:cs="宋体"/>
                <w:color w:val="auto"/>
                <w:szCs w:val="21"/>
                <w:highlight w:val="none"/>
                <w:lang w:eastAsia="zh-CN"/>
              </w:rPr>
              <w:t>；</w:t>
            </w:r>
          </w:p>
          <w:p>
            <w:pPr>
              <w:widowControl/>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3.2025年12月底前成交供应商</w:t>
            </w:r>
            <w:r>
              <w:rPr>
                <w:rFonts w:hint="eastAsia" w:ascii="宋体" w:hAnsi="宋体" w:cs="宋体"/>
                <w:color w:val="auto"/>
                <w:szCs w:val="21"/>
                <w:highlight w:val="none"/>
              </w:rPr>
              <w:t>完成验收及提交</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报告</w:t>
            </w:r>
            <w:r>
              <w:rPr>
                <w:rFonts w:hint="eastAsia" w:ascii="宋体" w:hAnsi="宋体" w:cs="宋体"/>
                <w:color w:val="auto"/>
                <w:szCs w:val="21"/>
                <w:highlight w:val="none"/>
                <w:lang w:eastAsia="zh-CN"/>
              </w:rPr>
              <w:t>，通过采购人验收</w:t>
            </w:r>
            <w:r>
              <w:rPr>
                <w:rFonts w:hint="eastAsia" w:ascii="宋体" w:hAnsi="宋体" w:cs="宋体"/>
                <w:color w:val="auto"/>
                <w:szCs w:val="21"/>
                <w:highlight w:val="none"/>
              </w:rPr>
              <w:t>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采购人向成交供应商</w:t>
            </w:r>
            <w:r>
              <w:rPr>
                <w:rFonts w:hint="eastAsia" w:ascii="宋体" w:hAnsi="宋体" w:cs="宋体"/>
                <w:color w:val="auto"/>
                <w:szCs w:val="21"/>
                <w:highlight w:val="none"/>
              </w:rPr>
              <w:t>支付合同款项的20%</w:t>
            </w:r>
            <w:r>
              <w:rPr>
                <w:rFonts w:hint="eastAsia" w:ascii="宋体" w:hAnsi="宋体" w:cs="宋体"/>
                <w:color w:val="auto"/>
                <w:szCs w:val="21"/>
                <w:highlight w:val="none"/>
                <w:lang w:val="en-US" w:eastAsia="zh-CN"/>
              </w:rPr>
              <w:t xml:space="preserve"> </w:t>
            </w:r>
          </w:p>
          <w:p>
            <w:pPr>
              <w:spacing w:line="240" w:lineRule="auto"/>
              <w:ind w:firstLine="0" w:firstLineChars="0"/>
              <w:rPr>
                <w:rFonts w:hint="eastAsia" w:ascii="宋体" w:hAnsi="宋体" w:cs="宋体"/>
                <w:b/>
                <w:color w:val="auto"/>
                <w:szCs w:val="21"/>
                <w:highlight w:val="none"/>
              </w:rPr>
            </w:pPr>
            <w:r>
              <w:rPr>
                <w:rFonts w:hint="eastAsia"/>
                <w:color w:val="auto"/>
                <w:highlight w:val="none"/>
                <w:lang w:val="en-US" w:eastAsia="zh-CN"/>
              </w:rPr>
              <w:t>4.</w:t>
            </w:r>
            <w:r>
              <w:rPr>
                <w:rFonts w:hint="eastAsia" w:ascii="宋体" w:hAnsi="宋体" w:cs="宋体"/>
                <w:color w:val="auto"/>
                <w:szCs w:val="21"/>
                <w:highlight w:val="none"/>
              </w:rPr>
              <w:t>每支付一笔款项前，成交供应商必须提供相应数额的合格发票、请款函、进度证明材料等。</w:t>
            </w:r>
            <w:r>
              <w:rPr>
                <w:rFonts w:hint="eastAsia" w:ascii="宋体" w:hAnsi="宋体" w:cs="Calibri"/>
                <w:color w:val="auto"/>
                <w:szCs w:val="21"/>
                <w:highlight w:val="none"/>
                <w:lang w:eastAsia="zh-CN"/>
              </w:rPr>
              <w:t>成交</w:t>
            </w:r>
            <w:r>
              <w:rPr>
                <w:rFonts w:hint="eastAsia" w:ascii="宋体" w:hAnsi="宋体" w:cs="Calibri"/>
                <w:color w:val="auto"/>
                <w:szCs w:val="21"/>
                <w:highlight w:val="none"/>
              </w:rPr>
              <w:t>供应商未及时向采购人开具发票的，采购人有权顺延付款时间，且不承担任何逾期付款违约责任。</w:t>
            </w:r>
          </w:p>
          <w:p>
            <w:pPr>
              <w:pStyle w:val="22"/>
              <w:rPr>
                <w:rFonts w:hint="default" w:eastAsia="宋体"/>
                <w:color w:val="auto"/>
                <w:highlight w:val="none"/>
                <w:lang w:val="en-US" w:eastAsia="zh-CN"/>
              </w:rPr>
            </w:pPr>
          </w:p>
        </w:tc>
      </w:tr>
    </w:tbl>
    <w:p>
      <w:pPr>
        <w:rPr>
          <w:rFonts w:ascii="Arial Unicode MS" w:hAnsi="Arial Unicode MS" w:eastAsia="Arial Unicode MS" w:cs="Arial Unicode MS"/>
          <w:color w:val="auto"/>
          <w:sz w:val="32"/>
          <w:szCs w:val="32"/>
          <w:highlight w:val="none"/>
        </w:rPr>
      </w:pPr>
      <w:r>
        <w:rPr>
          <w:rFonts w:hint="eastAsia" w:ascii="Arial Unicode MS" w:hAnsi="Arial Unicode MS" w:eastAsia="Arial Unicode MS" w:cs="Arial Unicode MS"/>
          <w:color w:val="auto"/>
          <w:sz w:val="32"/>
          <w:szCs w:val="32"/>
          <w:highlight w:val="none"/>
        </w:rPr>
        <w:br w:type="page"/>
      </w:r>
    </w:p>
    <w:p>
      <w:pPr>
        <w:ind w:left="119"/>
        <w:rPr>
          <w:rFonts w:ascii="宋体" w:hAnsi="宋体" w:cs="宋体"/>
          <w:color w:val="auto"/>
          <w:sz w:val="32"/>
          <w:szCs w:val="32"/>
          <w:highlight w:val="none"/>
        </w:rPr>
      </w:pPr>
      <w:bookmarkStart w:id="60" w:name="_Toc3319"/>
      <w:bookmarkStart w:id="61" w:name="_Toc80886927"/>
      <w:r>
        <w:rPr>
          <w:rFonts w:hint="eastAsia" w:ascii="宋体" w:hAnsi="宋体" w:cs="宋体"/>
          <w:color w:val="auto"/>
          <w:sz w:val="32"/>
          <w:szCs w:val="32"/>
          <w:highlight w:val="none"/>
        </w:rPr>
        <w:t>附件1：</w:t>
      </w:r>
    </w:p>
    <w:p>
      <w:pPr>
        <w:widowControl/>
        <w:jc w:val="center"/>
        <w:rPr>
          <w:rFonts w:ascii="宋体" w:hAnsi="宋体" w:cs="宋体"/>
          <w:b/>
          <w:bCs/>
          <w:color w:val="auto"/>
          <w:kern w:val="0"/>
          <w:sz w:val="30"/>
          <w:szCs w:val="30"/>
          <w:highlight w:val="none"/>
        </w:rPr>
      </w:pPr>
      <w:bookmarkStart w:id="62" w:name="_Toc28361_WPSOffice_Level2"/>
      <w:r>
        <w:rPr>
          <w:rFonts w:hint="eastAsia" w:ascii="宋体" w:hAnsi="宋体" w:cs="宋体"/>
          <w:b/>
          <w:bCs/>
          <w:color w:val="auto"/>
          <w:kern w:val="0"/>
          <w:sz w:val="30"/>
          <w:szCs w:val="30"/>
          <w:highlight w:val="none"/>
        </w:rPr>
        <w:t>统计上大中小微型企业划分标准</w:t>
      </w:r>
      <w:bookmarkEnd w:id="62"/>
    </w:p>
    <w:tbl>
      <w:tblPr>
        <w:tblStyle w:val="31"/>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highlight w:val="none"/>
              </w:rPr>
            </w:pPr>
            <w:r>
              <w:rPr>
                <w:rFonts w:hint="eastAsia"/>
                <w:color w:val="auto"/>
                <w:sz w:val="18"/>
                <w:szCs w:val="21"/>
                <w:highlight w:val="none"/>
              </w:rPr>
              <w:t>农、林、牧、渔业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工业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建筑业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批发业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零售业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交通运输业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仓储业*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邮政业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住宿业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餐饮业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信息传输业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房地产开发经营</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物业管理</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rPr>
                <w:color w:val="auto"/>
                <w:sz w:val="18"/>
                <w:szCs w:val="21"/>
                <w:highlight w:val="none"/>
              </w:rPr>
            </w:pPr>
            <w:r>
              <w:rPr>
                <w:rFonts w:hint="eastAsia"/>
                <w:color w:val="auto"/>
                <w:sz w:val="18"/>
                <w:szCs w:val="21"/>
                <w:highlight w:val="none"/>
              </w:rPr>
              <w:t>租赁和商务服务业</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rPr>
                <w:color w:val="auto"/>
                <w:sz w:val="18"/>
                <w:szCs w:val="21"/>
                <w:highlight w:val="none"/>
              </w:rPr>
            </w:pP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rPr>
                <w:color w:val="auto"/>
                <w:sz w:val="18"/>
                <w:szCs w:val="21"/>
                <w:highlight w:val="none"/>
              </w:rPr>
            </w:pPr>
            <w:r>
              <w:rPr>
                <w:rFonts w:hint="eastAsia"/>
                <w:color w:val="auto"/>
                <w:sz w:val="18"/>
                <w:szCs w:val="21"/>
                <w:highlight w:val="none"/>
              </w:rPr>
              <w:t>其他未列明行业 *</w:t>
            </w:r>
          </w:p>
        </w:tc>
        <w:tc>
          <w:tcPr>
            <w:tcW w:w="136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rPr>
          <w:rFonts w:ascii="宋体" w:hAnsi="宋体" w:cs="宋体"/>
          <w:color w:val="auto"/>
          <w:kern w:val="0"/>
          <w:szCs w:val="21"/>
          <w:highlight w:val="none"/>
        </w:rPr>
      </w:pPr>
      <w:r>
        <w:rPr>
          <w:rFonts w:hint="eastAsia" w:ascii="宋体" w:hAnsi="宋体" w:cs="宋体"/>
          <w:color w:val="auto"/>
          <w:kern w:val="0"/>
          <w:szCs w:val="21"/>
          <w:highlight w:val="none"/>
        </w:rPr>
        <w:t>说明：</w:t>
      </w:r>
    </w:p>
    <w:p>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adjustRightInd w:val="0"/>
        <w:ind w:firstLine="420" w:firstLineChars="200"/>
        <w:contextualSpacing/>
        <w:rPr>
          <w:rFonts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ind w:firstLine="420" w:firstLineChars="200"/>
        <w:rPr>
          <w:rFonts w:ascii="宋体" w:hAnsi="宋体" w:cs="宋体"/>
          <w:color w:val="auto"/>
          <w:kern w:val="0"/>
          <w:sz w:val="24"/>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3"/>
        <w:spacing w:line="480" w:lineRule="auto"/>
        <w:jc w:val="center"/>
        <w:rPr>
          <w:rFonts w:ascii="Calibri" w:hAnsi="Calibri"/>
          <w:color w:val="auto"/>
          <w:highlight w:val="none"/>
        </w:rPr>
      </w:pPr>
      <w:bookmarkStart w:id="63" w:name="_Toc9239"/>
      <w:bookmarkStart w:id="64" w:name="_Toc7704"/>
      <w:bookmarkStart w:id="65" w:name="_Toc13614"/>
      <w:bookmarkStart w:id="66" w:name="_Toc24174"/>
      <w:bookmarkStart w:id="67" w:name="_Toc2072"/>
      <w:bookmarkStart w:id="68" w:name="_Toc19152"/>
      <w:r>
        <w:rPr>
          <w:rFonts w:hint="eastAsia" w:ascii="Cambria" w:hAnsi="Cambria"/>
          <w:bCs w:val="0"/>
          <w:color w:val="auto"/>
          <w:sz w:val="32"/>
          <w:szCs w:val="32"/>
          <w:highlight w:val="none"/>
        </w:rPr>
        <w:t>第三章 供应商须知</w:t>
      </w:r>
      <w:bookmarkEnd w:id="60"/>
      <w:bookmarkEnd w:id="61"/>
      <w:bookmarkEnd w:id="63"/>
      <w:bookmarkEnd w:id="64"/>
      <w:bookmarkEnd w:id="65"/>
      <w:bookmarkEnd w:id="66"/>
      <w:bookmarkEnd w:id="67"/>
      <w:bookmarkEnd w:id="68"/>
    </w:p>
    <w:p>
      <w:pPr>
        <w:pStyle w:val="4"/>
        <w:jc w:val="center"/>
        <w:rPr>
          <w:rFonts w:ascii="宋体" w:hAnsi="宋体"/>
          <w:b w:val="0"/>
          <w:color w:val="auto"/>
          <w:highlight w:val="none"/>
        </w:rPr>
      </w:pPr>
      <w:bookmarkStart w:id="69" w:name="_Toc80886928"/>
      <w:bookmarkStart w:id="70" w:name="_Toc9482"/>
      <w:bookmarkStart w:id="71" w:name="_Toc30660"/>
      <w:r>
        <w:rPr>
          <w:rFonts w:hint="eastAsia" w:ascii="宋体" w:hAnsi="宋体"/>
          <w:b w:val="0"/>
          <w:color w:val="auto"/>
          <w:highlight w:val="none"/>
        </w:rPr>
        <w:t>第一节 供应商须知前附表</w:t>
      </w:r>
      <w:bookmarkEnd w:id="69"/>
      <w:bookmarkEnd w:id="70"/>
      <w:bookmarkEnd w:id="71"/>
    </w:p>
    <w:tbl>
      <w:tblPr>
        <w:tblStyle w:val="31"/>
        <w:tblW w:w="9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3"/>
        <w:gridCol w:w="2390"/>
        <w:gridCol w:w="64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63"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2390" w:type="dxa"/>
            <w:vAlign w:val="center"/>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条款内容</w:t>
            </w:r>
          </w:p>
        </w:tc>
        <w:tc>
          <w:tcPr>
            <w:tcW w:w="6416" w:type="dxa"/>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供应商资格条件</w:t>
            </w:r>
          </w:p>
        </w:tc>
        <w:tc>
          <w:tcPr>
            <w:tcW w:w="641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是否接受联合体竞标</w:t>
            </w:r>
          </w:p>
        </w:tc>
        <w:tc>
          <w:tcPr>
            <w:tcW w:w="6416" w:type="dxa"/>
            <w:vAlign w:val="center"/>
          </w:tcPr>
          <w:p>
            <w:pPr>
              <w:spacing w:line="360" w:lineRule="auto"/>
              <w:rPr>
                <w:rFonts w:ascii="宋体" w:hAnsi="宋体" w:cs="宋体"/>
                <w:color w:val="auto"/>
                <w:szCs w:val="21"/>
                <w:highlight w:val="none"/>
              </w:rPr>
            </w:pPr>
            <w:bookmarkStart w:id="72" w:name="PO_3000001868_PM007"/>
            <w:r>
              <w:rPr>
                <w:rFonts w:hint="eastAsia" w:ascii="宋体" w:hAnsi="宋体" w:cs="宋体"/>
                <w:color w:val="auto"/>
                <w:szCs w:val="21"/>
                <w:highlight w:val="none"/>
              </w:rPr>
              <w:t>详见竞争性磋商公告</w:t>
            </w:r>
            <w:bookmarkEnd w:id="7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联合体竞标要求</w:t>
            </w:r>
          </w:p>
        </w:tc>
        <w:tc>
          <w:tcPr>
            <w:tcW w:w="6416"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是否允许分包</w:t>
            </w:r>
          </w:p>
        </w:tc>
        <w:tc>
          <w:tcPr>
            <w:tcW w:w="6416" w:type="dxa"/>
            <w:vAlign w:val="center"/>
          </w:tcPr>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2390"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资格证明文件组成</w:t>
            </w:r>
          </w:p>
        </w:tc>
        <w:tc>
          <w:tcPr>
            <w:tcW w:w="6416" w:type="dxa"/>
            <w:vAlign w:val="center"/>
          </w:tcPr>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1.供应商为法人或者其他组织的提供其营业执照等证明文件复印件（如营业执照或者事业单位法人证书或者执业许可证等），供应商为自然人的提供其有效身份证正反面复印件；（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2.供应商依法缴纳税收的相关材料（提供税款所属时期为2024年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至首次响应文件提交截止时间止的任意3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3.供应商依法缴纳社会保障资金的相关材料（提供税款所属时期或缴费起始时间为2024年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至首次响应文件提交截止时间止的任意3个月的依法缴纳社会保障资金的缴费凭证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4.供应商财务状况报告（提供2023年度财务报告复印件或者截标时间前半年内至少一个月能反映财务状况的报表或者供应商自拟的截标时间前半年内至少一个月的财务情况说明）；</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bCs/>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5.声明函（格式后附）；（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6.供应商直接控股股东信息表（格式后附）。（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7.供应商直接管理关系信息表（格式后附）。（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8.中小企业声明函或者残疾人福利性单位声明函（格式后附）或者供应商属于监狱企业的，提供由省级以上监狱管理局、戒毒管理局（含新疆生产建设兵团）出具的属于监狱企业的证明文件；（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9.联合体竞标协议书（格式后附）；（</w:t>
            </w:r>
            <w:r>
              <w:rPr>
                <w:rFonts w:hint="eastAsia" w:ascii="宋体" w:hAnsi="宋体" w:cs="宋体"/>
                <w:b/>
                <w:color w:val="auto"/>
                <w:szCs w:val="21"/>
                <w:highlight w:val="none"/>
              </w:rPr>
              <w:t>联合体竞标时必须提供，否则响应文件按无效响应处理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10.除竞争性磋商文件规定必须提供以外，供应商认为需要提供的其他证明材料（格式自拟）。（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注：</w:t>
            </w:r>
          </w:p>
          <w:p>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　　1.以上标明“必须提供”的材料属于复印件的扫描件的，必须加盖供应商公章，否则响应文件按无效响应处理。</w:t>
            </w:r>
          </w:p>
          <w:p>
            <w:pPr>
              <w:pStyle w:val="14"/>
              <w:spacing w:line="360" w:lineRule="auto"/>
              <w:ind w:firstLine="421" w:firstLineChars="200"/>
              <w:rPr>
                <w:rFonts w:ascii="宋体" w:hAnsi="宋体" w:cs="宋体"/>
                <w:b/>
                <w:color w:val="auto"/>
                <w:szCs w:val="21"/>
                <w:highlight w:val="none"/>
              </w:rPr>
            </w:pPr>
            <w:r>
              <w:rPr>
                <w:rFonts w:hint="eastAsia" w:ascii="宋体" w:hAnsi="宋体" w:cs="宋体"/>
                <w:b/>
                <w:color w:val="auto"/>
                <w:szCs w:val="21"/>
                <w:highlight w:val="none"/>
              </w:rPr>
              <w:t>2.联合体竞标时，第1-4项资格证明文件联合体各方均必须分别提供，联合体各方分别盖章，否则响应文件按无效响应处理。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2390"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6416"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4.磋商保证金提交凭证；（</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7.对应采购需求的商务条款提供的其他文件资料（格式自拟）；（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8.供应商认为需要提供的其他有关资料（格式自拟）。（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1.法定代表人授权委托书必须由法定代表人及其委托代理人签字，并加盖供应商公章，否则响应文件按无效响应处理。</w:t>
            </w:r>
          </w:p>
          <w:p>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6416" w:type="dxa"/>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1.服务需求偏离表（格式后附）；（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2.服务方案（格式自拟）；（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highlight w:val="none"/>
              </w:rPr>
              <w:t>3.</w:t>
            </w:r>
            <w:r>
              <w:rPr>
                <w:rFonts w:hint="eastAsia" w:ascii="宋体" w:hAnsi="宋体" w:cs="宋体"/>
                <w:color w:val="auto"/>
                <w:szCs w:val="21"/>
                <w:highlight w:val="none"/>
              </w:rPr>
              <w:t>项目质量保障措施（格式自拟）</w:t>
            </w:r>
            <w:r>
              <w:rPr>
                <w:rFonts w:hint="eastAsia" w:ascii="宋体" w:hAnsi="宋体" w:cs="宋体"/>
                <w:color w:val="auto"/>
                <w:highlight w:val="none"/>
              </w:rPr>
              <w:t>；</w:t>
            </w:r>
            <w:r>
              <w:rPr>
                <w:rFonts w:hint="eastAsia" w:ascii="宋体" w:hAnsi="宋体" w:cs="宋体"/>
                <w:color w:val="auto"/>
                <w:szCs w:val="21"/>
                <w:highlight w:val="none"/>
              </w:rPr>
              <w:t>（</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4.项目实施人员一览表（格式后附）；（</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5.对应采购需求的服务需求提供的其他文件资料（格式自拟）；（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6.供应商认为需要提供的其他有关资料（格式自拟）。（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b/>
                <w:bCs/>
                <w:color w:val="auto"/>
                <w:szCs w:val="21"/>
                <w:highlight w:val="none"/>
              </w:rPr>
              <w:t>报价文件组成</w:t>
            </w:r>
          </w:p>
        </w:tc>
        <w:tc>
          <w:tcPr>
            <w:tcW w:w="6416" w:type="dxa"/>
            <w:vAlign w:val="center"/>
          </w:tcPr>
          <w:p>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1.响应函（格式后附）；</w:t>
            </w:r>
            <w:r>
              <w:rPr>
                <w:rFonts w:hint="eastAsia" w:ascii="宋体" w:hAnsi="宋体" w:cs="宋体"/>
                <w:b/>
                <w:color w:val="auto"/>
                <w:szCs w:val="21"/>
                <w:highlight w:val="none"/>
              </w:rPr>
              <w:t>（必须提供，否则响应文件按无效响应处理）</w:t>
            </w:r>
          </w:p>
          <w:p>
            <w:pPr>
              <w:spacing w:line="360" w:lineRule="auto"/>
              <w:rPr>
                <w:rFonts w:ascii="宋体" w:hAnsi="宋体" w:cs="宋体"/>
                <w:color w:val="auto"/>
                <w:szCs w:val="21"/>
                <w:highlight w:val="none"/>
              </w:rPr>
            </w:pPr>
            <w:r>
              <w:rPr>
                <w:rFonts w:hint="eastAsia" w:ascii="宋体" w:hAnsi="宋体" w:cs="宋体"/>
                <w:color w:val="auto"/>
                <w:szCs w:val="21"/>
                <w:highlight w:val="none"/>
              </w:rPr>
              <w:t>2.响应报价表（格式后附）；（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ascii="宋体" w:hAnsi="宋体" w:cs="宋体"/>
                <w:color w:val="auto"/>
                <w:szCs w:val="21"/>
                <w:highlight w:val="none"/>
              </w:rPr>
            </w:pPr>
            <w:r>
              <w:rPr>
                <w:rFonts w:hint="eastAsia" w:ascii="宋体" w:hAnsi="宋体" w:cs="宋体"/>
                <w:color w:val="auto"/>
                <w:szCs w:val="21"/>
                <w:highlight w:val="none"/>
              </w:rPr>
              <w:t>3.供应商针对报价需要说明的其他文件和说明（格式自拟）。（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响应文件电子版要求</w:t>
            </w:r>
          </w:p>
        </w:tc>
        <w:tc>
          <w:tcPr>
            <w:tcW w:w="6416"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1.响应文件电子版要求：按照本竞争性磋商文件“第五章 响应文件格式”编写，第五章未附格式的，由供应商自行拟定。</w:t>
            </w:r>
          </w:p>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响应报价要求</w:t>
            </w:r>
          </w:p>
        </w:tc>
        <w:tc>
          <w:tcPr>
            <w:tcW w:w="6416" w:type="dxa"/>
            <w:vAlign w:val="center"/>
          </w:tcPr>
          <w:p>
            <w:pPr>
              <w:snapToGrid w:val="0"/>
              <w:spacing w:line="360" w:lineRule="auto"/>
              <w:jc w:val="left"/>
              <w:rPr>
                <w:rFonts w:ascii="宋体" w:hAnsi="宋体" w:cs="宋体"/>
                <w:color w:val="auto"/>
                <w:highlight w:val="none"/>
              </w:rPr>
            </w:pPr>
            <w:r>
              <w:rPr>
                <w:rFonts w:hint="eastAsia" w:ascii="宋体" w:hAnsi="宋体" w:cs="宋体"/>
                <w:color w:val="auto"/>
                <w:highlight w:val="none"/>
              </w:rPr>
              <w:t>响应报价必须包含满足本次竞标全部采购需求所应提供的服务，以及伴随的货物和工程（如有）的价格；包含竞标服务、货物、工程的成本、运输（含保险）、安装（如有）、调试、检验、技术服务、培训、税费等所有费用。（采购需求另有约定的，从其约定。）</w:t>
            </w:r>
          </w:p>
          <w:p>
            <w:pPr>
              <w:pStyle w:val="2"/>
              <w:spacing w:line="360" w:lineRule="auto"/>
              <w:rPr>
                <w:rFonts w:ascii="宋体" w:hAnsi="宋体" w:cs="宋体"/>
                <w:color w:val="auto"/>
                <w:highlight w:val="none"/>
              </w:rPr>
            </w:pPr>
            <w:r>
              <w:rPr>
                <w:rFonts w:hint="eastAsia" w:ascii="宋体" w:hAnsi="宋体" w:cs="宋体"/>
                <w:b/>
                <w:color w:val="auto"/>
                <w:szCs w:val="21"/>
                <w:highlight w:val="none"/>
              </w:rPr>
              <w:t>响应报价包含验收费用。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竞标有效期</w:t>
            </w:r>
          </w:p>
        </w:tc>
        <w:tc>
          <w:tcPr>
            <w:tcW w:w="6416" w:type="dxa"/>
            <w:vAlign w:val="center"/>
          </w:tcPr>
          <w:p>
            <w:pPr>
              <w:pStyle w:val="12"/>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rPr>
              <w:t xml:space="preserve"> 60 </w:t>
            </w:r>
            <w:r>
              <w:rPr>
                <w:rFonts w:hint="eastAsia" w:ascii="宋体" w:hAnsi="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磋商保证金</w:t>
            </w:r>
          </w:p>
        </w:tc>
        <w:tc>
          <w:tcPr>
            <w:tcW w:w="6416" w:type="dxa"/>
            <w:vAlign w:val="center"/>
          </w:tcPr>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磋商保证金，相关要求如下：</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1.磋商保证金的缴纳方式：详见竞争性磋商公告。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2.磋商保证金的金额：详见竞争性磋商公告。</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3.磋商保证金采用银行转账缴纳方式的，在首次响应文件提交截止时间前交至采购代理机构指定账户并且到账，供应商应将银行转账底单的复印件作为磋商保证金提交凭证，放置于商务文件中，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4.磋商保证金采用支票、汇票、本票或者金融机构、担保机构出具的保函等缴纳方式的，供应商应将支票、汇票、本票或者金融机构、担保机构出具的保函等的复印件</w:t>
            </w:r>
            <w:r>
              <w:rPr>
                <w:color w:val="auto"/>
                <w:highlight w:val="none"/>
              </w:rPr>
              <w:t>或者金融机构、担保机构出具的电子保函</w:t>
            </w:r>
            <w:r>
              <w:rPr>
                <w:rFonts w:hint="eastAsia" w:ascii="宋体" w:hAnsi="宋体" w:cs="宋体"/>
                <w:color w:val="auto"/>
                <w:szCs w:val="21"/>
                <w:highlight w:val="none"/>
              </w:rPr>
              <w:t>作为磋商保证金提交凭证，放置于商务文件中，</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。供应商必须在</w:t>
            </w:r>
            <w:r>
              <w:rPr>
                <w:rFonts w:hint="eastAsia" w:ascii="宋体" w:hAnsi="宋体" w:cs="宋体"/>
                <w:color w:val="auto"/>
                <w:kern w:val="0"/>
                <w:szCs w:val="21"/>
                <w:highlight w:val="none"/>
              </w:rPr>
              <w:t>首次响应文件提交截止时间前</w:t>
            </w:r>
            <w:r>
              <w:rPr>
                <w:rFonts w:hint="eastAsia" w:ascii="宋体" w:hAnsi="宋体" w:cs="宋体"/>
                <w:color w:val="auto"/>
                <w:szCs w:val="21"/>
                <w:highlight w:val="none"/>
              </w:rPr>
              <w:t>将支票、汇票、本票或者金融机构、担保机构出具的保函（电子保函除外）等原件提交给采购代理机构，由采购代理机构向供应商出具回执，并妥善保管。</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5.磋商保证金指定账户：详见竞争性磋商公告。</w:t>
            </w:r>
          </w:p>
          <w:p>
            <w:pPr>
              <w:snapToGrid w:val="0"/>
              <w:spacing w:line="360" w:lineRule="auto"/>
              <w:rPr>
                <w:rFonts w:ascii="宋体" w:hAnsi="宋体" w:cs="宋体"/>
                <w:b/>
                <w:color w:val="auto"/>
                <w:szCs w:val="21"/>
                <w:highlight w:val="none"/>
              </w:rPr>
            </w:pPr>
            <w:r>
              <w:rPr>
                <w:rFonts w:hint="eastAsia" w:ascii="宋体" w:hAnsi="宋体" w:cs="宋体"/>
                <w:color w:val="auto"/>
                <w:szCs w:val="21"/>
                <w:highlight w:val="none"/>
              </w:rPr>
              <w:t>6.供应商为联合体的，可以由联合体中的一方或者多方共同缴纳磋商保证金，其缴纳的磋商保证金对联合体各方均具有约束力。</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 xml:space="preserve">备注： </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1.磋商保证金在首次响应文件提交截止时间后提交的，或者不按规定缴纳方式缴纳的，或者未足额缴纳的（包含保函额度不足的），视为无效磋商保证金。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2.供应商采用现金方式或者从个人账户（自然人竞标除外）转出的磋商保证金，视为无效磋商保证金。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3.支票、汇票或者本票出现无效或者背书情形的，视为无效磋商保证金。</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4.保函有效期低于竞标有效期的，视为无效磋商保证金。</w:t>
            </w:r>
          </w:p>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首次响应文件提交截止时间</w:t>
            </w:r>
          </w:p>
        </w:tc>
        <w:tc>
          <w:tcPr>
            <w:tcW w:w="6416"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首次响应文件开启时间</w:t>
            </w:r>
          </w:p>
        </w:tc>
        <w:tc>
          <w:tcPr>
            <w:tcW w:w="6416"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首次响应文件提交地点</w:t>
            </w:r>
          </w:p>
        </w:tc>
        <w:tc>
          <w:tcPr>
            <w:tcW w:w="6416" w:type="dxa"/>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20.6</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备份响应文件</w:t>
            </w:r>
          </w:p>
        </w:tc>
        <w:tc>
          <w:tcPr>
            <w:tcW w:w="6416" w:type="dxa"/>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负偏离要求</w:t>
            </w:r>
          </w:p>
        </w:tc>
        <w:tc>
          <w:tcPr>
            <w:tcW w:w="64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技术要求中允许负偏离的条款数为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评审方法</w:t>
            </w:r>
          </w:p>
        </w:tc>
        <w:tc>
          <w:tcPr>
            <w:tcW w:w="6416" w:type="dxa"/>
            <w:vAlign w:val="center"/>
          </w:tcPr>
          <w:p>
            <w:pPr>
              <w:pStyle w:val="14"/>
              <w:spacing w:line="360" w:lineRule="auto"/>
              <w:rPr>
                <w:rFonts w:ascii="宋体" w:hAnsi="宋体" w:cs="宋体"/>
                <w:color w:val="auto"/>
                <w:szCs w:val="21"/>
                <w:highlight w:val="none"/>
              </w:rPr>
            </w:pPr>
            <w:r>
              <w:rPr>
                <w:rFonts w:hint="eastAsia"/>
                <w:color w:val="auto"/>
                <w:highlight w:val="none"/>
              </w:rPr>
              <w:t>本项目采用综合评分法。综合评分法是指响应文件满足竞争性磋商文件全部实质性要求且按评审因素的量化指标评审得分最高的供应商为成交候选供应商的评审方法。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磋商的顺序</w:t>
            </w:r>
          </w:p>
        </w:tc>
        <w:tc>
          <w:tcPr>
            <w:tcW w:w="6416" w:type="dxa"/>
            <w:vAlign w:val="center"/>
          </w:tcPr>
          <w:p>
            <w:pPr>
              <w:pStyle w:val="14"/>
              <w:spacing w:line="360" w:lineRule="auto"/>
              <w:rPr>
                <w:rFonts w:ascii="宋体" w:hAnsi="宋体" w:cs="宋体"/>
                <w:color w:val="auto"/>
                <w:szCs w:val="21"/>
                <w:highlight w:val="none"/>
              </w:rPr>
            </w:pPr>
            <w:r>
              <w:rPr>
                <w:rFonts w:hint="eastAsia" w:ascii="宋体" w:hAnsi="宋体" w:cs="宋体"/>
                <w:color w:val="auto"/>
                <w:szCs w:val="21"/>
                <w:highlight w:val="none"/>
              </w:rPr>
              <w:t>如采用视频会议形式进行磋商，将按照提交首次响应文件的顺序，通知磋商时，若某供应商不在通知现场时，该供应商排序到最后磋商，按照签到的顺序由其下一位供应商先参与磋商。</w:t>
            </w:r>
          </w:p>
          <w:p>
            <w:pPr>
              <w:pStyle w:val="14"/>
              <w:spacing w:line="360" w:lineRule="auto"/>
              <w:rPr>
                <w:rFonts w:ascii="宋体" w:hAnsi="宋体" w:cs="宋体"/>
                <w:b/>
                <w:color w:val="auto"/>
                <w:szCs w:val="21"/>
                <w:highlight w:val="none"/>
              </w:rPr>
            </w:pPr>
            <w:r>
              <w:rPr>
                <w:rFonts w:hint="eastAsia" w:ascii="宋体" w:hAnsi="宋体" w:cs="宋体"/>
                <w:b/>
                <w:color w:val="auto"/>
                <w:szCs w:val="21"/>
                <w:highlight w:val="none"/>
              </w:rPr>
              <w:t>参与磋商前，磋商小组如有要求，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6416" w:type="dxa"/>
            <w:vAlign w:val="center"/>
          </w:tcPr>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pPr>
              <w:spacing w:line="360" w:lineRule="auto"/>
              <w:rPr>
                <w:rFonts w:ascii="宋体" w:hAnsi="宋体" w:cs="宋体"/>
                <w:b/>
                <w:color w:val="auto"/>
                <w:szCs w:val="21"/>
                <w:highlight w:val="none"/>
              </w:rPr>
            </w:pPr>
            <w:r>
              <w:rPr>
                <w:rFonts w:hint="eastAsia" w:ascii="宋体" w:hAnsi="宋体" w:cs="宋体"/>
                <w:color w:val="auto"/>
                <w:szCs w:val="21"/>
                <w:highlight w:val="none"/>
              </w:rPr>
              <w:t>备注：</w:t>
            </w:r>
            <w:r>
              <w:rPr>
                <w:rFonts w:hint="eastAsia" w:ascii="宋体" w:hAnsi="宋体" w:cs="宋体"/>
                <w:color w:val="auto"/>
                <w:szCs w:val="21"/>
                <w:highlight w:val="none"/>
              </w:rPr>
              <w:br w:type="textWrapping"/>
            </w:r>
            <w:r>
              <w:rPr>
                <w:rFonts w:hint="eastAsia" w:ascii="宋体" w:hAnsi="宋体" w:cs="宋体"/>
                <w:b/>
                <w:color w:val="auto"/>
                <w:szCs w:val="21"/>
                <w:highlight w:val="none"/>
              </w:rPr>
              <w:t>1. 根据《广西壮族自治区财政厅关于贯彻落实政府采购优化营商环境百日攻坚行动方案的通知》（桂财采〔2020〕49号）和《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pPr>
              <w:spacing w:line="360" w:lineRule="auto"/>
              <w:rPr>
                <w:rFonts w:ascii="宋体" w:hAnsi="宋体" w:cs="宋体"/>
                <w:b/>
                <w:color w:val="auto"/>
                <w:szCs w:val="21"/>
                <w:highlight w:val="none"/>
              </w:rPr>
            </w:pPr>
            <w:r>
              <w:rPr>
                <w:rFonts w:hint="eastAsia" w:ascii="宋体" w:hAnsi="宋体" w:cs="宋体"/>
                <w:b/>
                <w:color w:val="auto"/>
                <w:szCs w:val="21"/>
                <w:highlight w:val="none"/>
              </w:rPr>
              <w:t>3.采用金融、担保机构出具保函的，必须为无条件保函，否则视为未按规定提交履约保证金。</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4.供应商为联合体的，可由联合体任意一方或者联合体各方共同提交的履约保证金，视为有效履约保证金。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29.5</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签订合同携带的材料</w:t>
            </w:r>
          </w:p>
        </w:tc>
        <w:tc>
          <w:tcPr>
            <w:tcW w:w="6416" w:type="dxa"/>
            <w:vAlign w:val="center"/>
          </w:tcPr>
          <w:p>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pPr>
              <w:snapToGrid w:val="0"/>
              <w:spacing w:line="360" w:lineRule="auto"/>
              <w:rPr>
                <w:rFonts w:ascii="宋体" w:hAnsi="宋体" w:cs="宋体"/>
                <w:b/>
                <w:bCs/>
                <w:i/>
                <w:iCs/>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restart"/>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64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质疑联系部门及联系</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方式</w:t>
            </w:r>
          </w:p>
        </w:tc>
        <w:tc>
          <w:tcPr>
            <w:tcW w:w="6416" w:type="dxa"/>
            <w:vAlign w:val="center"/>
          </w:tcPr>
          <w:p>
            <w:pPr>
              <w:numPr>
                <w:ilvl w:val="0"/>
                <w:numId w:val="2"/>
              </w:numPr>
              <w:snapToGrid w:val="0"/>
              <w:spacing w:line="360" w:lineRule="auto"/>
              <w:rPr>
                <w:rFonts w:ascii="宋体" w:hAnsi="宋体" w:cs="宋体"/>
                <w:color w:val="auto"/>
                <w:szCs w:val="21"/>
                <w:highlight w:val="none"/>
              </w:rPr>
            </w:pPr>
            <w:bookmarkStart w:id="73" w:name="PO_3000001868_PM031_3"/>
            <w:r>
              <w:rPr>
                <w:rFonts w:hint="eastAsia" w:ascii="宋体" w:hAnsi="宋体" w:cs="宋体"/>
                <w:color w:val="auto"/>
                <w:szCs w:val="21"/>
                <w:highlight w:val="none"/>
              </w:rPr>
              <w:t>名称：</w:t>
            </w:r>
            <w:bookmarkEnd w:id="73"/>
            <w:r>
              <w:rPr>
                <w:rFonts w:hint="eastAsia" w:ascii="宋体" w:hAnsi="宋体" w:cs="宋体"/>
                <w:color w:val="auto"/>
                <w:kern w:val="0"/>
                <w:szCs w:val="21"/>
                <w:highlight w:val="none"/>
              </w:rPr>
              <w:t>广西壮族自治区林业局</w:t>
            </w:r>
          </w:p>
          <w:p>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联系电话：</w:t>
            </w:r>
            <w:r>
              <w:rPr>
                <w:rFonts w:hint="eastAsia" w:ascii="宋体" w:hAnsi="宋体" w:cs="宋体"/>
                <w:color w:val="auto"/>
                <w:szCs w:val="21"/>
                <w:highlight w:val="none"/>
                <w:lang w:val="en-US" w:eastAsia="zh-CN"/>
              </w:rPr>
              <w:t xml:space="preserve"> </w:t>
            </w:r>
            <w:r>
              <w:rPr>
                <w:rFonts w:hint="eastAsia"/>
                <w:color w:val="auto"/>
                <w:highlight w:val="none"/>
                <w:lang w:val="en-US" w:eastAsia="zh-CN"/>
              </w:rPr>
              <w:t>0771-6783361</w:t>
            </w:r>
          </w:p>
          <w:p>
            <w:pPr>
              <w:spacing w:line="360" w:lineRule="auto"/>
              <w:rPr>
                <w:rFonts w:ascii="宋体" w:hAnsi="宋体" w:cs="宋体"/>
                <w:color w:val="auto"/>
                <w:kern w:val="0"/>
                <w:szCs w:val="21"/>
                <w:highlight w:val="none"/>
              </w:rPr>
            </w:pPr>
            <w:r>
              <w:rPr>
                <w:rFonts w:hint="eastAsia" w:ascii="宋体" w:hAnsi="宋体" w:cs="宋体"/>
                <w:color w:val="auto"/>
                <w:szCs w:val="21"/>
                <w:highlight w:val="none"/>
              </w:rPr>
              <w:t>通讯地址：</w:t>
            </w:r>
            <w:r>
              <w:rPr>
                <w:rFonts w:hint="eastAsia" w:ascii="宋体" w:hAnsi="宋体" w:cs="宋体"/>
                <w:color w:val="auto"/>
                <w:kern w:val="0"/>
                <w:szCs w:val="21"/>
                <w:highlight w:val="none"/>
              </w:rPr>
              <w:t>广西南宁市青秀区云景路21号自治区林业局</w:t>
            </w:r>
          </w:p>
          <w:p>
            <w:pPr>
              <w:spacing w:line="360" w:lineRule="auto"/>
              <w:ind w:firstLine="630" w:firstLineChars="300"/>
              <w:rPr>
                <w:color w:val="auto"/>
                <w:highlight w:val="none"/>
              </w:rPr>
            </w:pPr>
          </w:p>
          <w:p>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（2）名称：</w:t>
            </w:r>
            <w:r>
              <w:rPr>
                <w:rFonts w:hint="eastAsia" w:ascii="宋体" w:hAnsi="宋体" w:cs="宋体"/>
                <w:color w:val="auto"/>
                <w:szCs w:val="21"/>
                <w:highlight w:val="none"/>
                <w:lang w:eastAsia="zh-CN"/>
              </w:rPr>
              <w:t>南宁华鑫招标代理有限公司</w:t>
            </w:r>
          </w:p>
          <w:p>
            <w:pPr>
              <w:snapToGrid w:val="0"/>
              <w:spacing w:line="360" w:lineRule="auto"/>
              <w:rPr>
                <w:rFonts w:hAnsi="宋体" w:cs="宋体"/>
                <w:color w:val="auto"/>
                <w:highlight w:val="none"/>
              </w:rPr>
            </w:pPr>
            <w:r>
              <w:rPr>
                <w:rFonts w:hint="eastAsia"/>
                <w:color w:val="auto"/>
                <w:szCs w:val="21"/>
                <w:highlight w:val="none"/>
              </w:rPr>
              <w:t>联系</w:t>
            </w:r>
            <w:r>
              <w:rPr>
                <w:color w:val="auto"/>
                <w:szCs w:val="21"/>
                <w:highlight w:val="none"/>
              </w:rPr>
              <w:t>地址</w:t>
            </w:r>
            <w:r>
              <w:rPr>
                <w:rFonts w:hint="eastAsia" w:cs="Helvetica"/>
                <w:color w:val="auto"/>
                <w:szCs w:val="21"/>
                <w:highlight w:val="none"/>
              </w:rPr>
              <w:t>：</w:t>
            </w:r>
            <w:r>
              <w:rPr>
                <w:rFonts w:hint="eastAsia" w:ascii="宋体" w:hAnsi="宋体" w:cs="宋体"/>
                <w:color w:val="auto"/>
                <w:kern w:val="0"/>
                <w:szCs w:val="21"/>
                <w:highlight w:val="none"/>
              </w:rPr>
              <w:t>广西南宁市良庆区龙堤路69号滨江御景b栋2层</w:t>
            </w:r>
            <w:r>
              <w:rPr>
                <w:rFonts w:hint="eastAsia" w:ascii="宋体" w:hAnsi="宋体"/>
                <w:color w:val="auto"/>
                <w:szCs w:val="21"/>
                <w:highlight w:val="none"/>
                <w:lang w:eastAsia="zh-CN"/>
              </w:rPr>
              <w:t>南宁华鑫招标代理有限公司</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highlight w:val="none"/>
              </w:rPr>
              <w:t>17600070170/0771-3380218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Merge w:val="continue"/>
            <w:vAlign w:val="center"/>
          </w:tcPr>
          <w:p>
            <w:pPr>
              <w:spacing w:line="360" w:lineRule="auto"/>
              <w:jc w:val="center"/>
              <w:rPr>
                <w:rFonts w:ascii="宋体" w:hAnsi="宋体" w:cs="宋体"/>
                <w:color w:val="auto"/>
                <w:szCs w:val="21"/>
                <w:highlight w:val="none"/>
              </w:rPr>
            </w:pPr>
          </w:p>
        </w:tc>
        <w:tc>
          <w:tcPr>
            <w:tcW w:w="2390" w:type="dxa"/>
            <w:vAlign w:val="center"/>
          </w:tcPr>
          <w:p>
            <w:pPr>
              <w:spacing w:line="360" w:lineRule="auto"/>
              <w:jc w:val="center"/>
              <w:rPr>
                <w:rFonts w:ascii="宋体" w:hAnsi="宋体" w:cs="宋体"/>
                <w:color w:val="auto"/>
                <w:highlight w:val="none"/>
              </w:rPr>
            </w:pPr>
            <w:r>
              <w:rPr>
                <w:rFonts w:hint="eastAsia" w:ascii="宋体" w:hAnsi="宋体" w:cs="宋体"/>
                <w:color w:val="auto"/>
                <w:highlight w:val="none"/>
              </w:rPr>
              <w:t>现场提交质疑办理业务</w:t>
            </w:r>
          </w:p>
          <w:p>
            <w:pPr>
              <w:spacing w:line="360" w:lineRule="auto"/>
              <w:jc w:val="center"/>
              <w:rPr>
                <w:rFonts w:ascii="宋体" w:hAnsi="宋体" w:cs="宋体"/>
                <w:color w:val="auto"/>
                <w:szCs w:val="21"/>
                <w:highlight w:val="none"/>
              </w:rPr>
            </w:pPr>
            <w:r>
              <w:rPr>
                <w:rFonts w:hint="eastAsia" w:ascii="宋体" w:hAnsi="宋体" w:cs="宋体"/>
                <w:color w:val="auto"/>
                <w:highlight w:val="none"/>
              </w:rPr>
              <w:t>时间</w:t>
            </w:r>
          </w:p>
        </w:tc>
        <w:tc>
          <w:tcPr>
            <w:tcW w:w="6416" w:type="dxa"/>
            <w:vAlign w:val="center"/>
          </w:tcPr>
          <w:p>
            <w:pPr>
              <w:snapToGrid w:val="0"/>
              <w:spacing w:line="360" w:lineRule="auto"/>
              <w:rPr>
                <w:rFonts w:ascii="宋体" w:hAnsi="宋体" w:cs="宋体"/>
                <w:color w:val="auto"/>
                <w:szCs w:val="21"/>
                <w:highlight w:val="none"/>
              </w:rPr>
            </w:pPr>
            <w:r>
              <w:rPr>
                <w:rFonts w:hint="eastAsia" w:ascii="宋体" w:hAnsi="宋体" w:cs="宋体"/>
                <w:color w:val="auto"/>
                <w:highlight w:val="none"/>
              </w:rPr>
              <w:t>质疑期内每个工作日（北京时间）上午8时</w:t>
            </w:r>
            <w:r>
              <w:rPr>
                <w:rFonts w:hint="eastAsia" w:ascii="宋体" w:hAnsi="宋体" w:cs="宋体"/>
                <w:color w:val="auto"/>
                <w:highlight w:val="none"/>
                <w:lang w:val="en-US" w:eastAsia="zh-CN"/>
              </w:rPr>
              <w:t>3</w:t>
            </w:r>
            <w:r>
              <w:rPr>
                <w:rFonts w:hint="eastAsia" w:ascii="宋体" w:hAnsi="宋体" w:cs="宋体"/>
                <w:color w:val="auto"/>
                <w:highlight w:val="none"/>
              </w:rPr>
              <w:t>0分到12时00分，下午15时00分到1</w:t>
            </w:r>
            <w:r>
              <w:rPr>
                <w:rFonts w:hint="eastAsia" w:ascii="宋体" w:hAnsi="宋体" w:cs="宋体"/>
                <w:color w:val="auto"/>
                <w:highlight w:val="none"/>
                <w:lang w:val="en-US" w:eastAsia="zh-CN"/>
              </w:rPr>
              <w:t>7</w:t>
            </w:r>
            <w:r>
              <w:rPr>
                <w:rFonts w:hint="eastAsia" w:ascii="宋体" w:hAnsi="宋体" w:cs="宋体"/>
                <w:color w:val="auto"/>
                <w:highlight w:val="none"/>
              </w:rPr>
              <w:t>时</w:t>
            </w:r>
            <w:r>
              <w:rPr>
                <w:rFonts w:hint="eastAsia" w:ascii="宋体" w:hAnsi="宋体" w:cs="宋体"/>
                <w:color w:val="auto"/>
                <w:highlight w:val="none"/>
                <w:lang w:val="en-US" w:eastAsia="zh-CN"/>
              </w:rPr>
              <w:t>3</w:t>
            </w:r>
            <w:r>
              <w:rPr>
                <w:rFonts w:hint="eastAsia" w:ascii="宋体" w:hAnsi="宋体" w:cs="宋体"/>
                <w:color w:val="auto"/>
                <w:highlight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31.6</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受理投诉方式</w:t>
            </w:r>
          </w:p>
        </w:tc>
        <w:tc>
          <w:tcPr>
            <w:tcW w:w="6416" w:type="dxa"/>
            <w:vAlign w:val="center"/>
          </w:tcPr>
          <w:p>
            <w:pPr>
              <w:snapToGrid w:val="0"/>
              <w:spacing w:line="360" w:lineRule="auto"/>
              <w:rPr>
                <w:rFonts w:ascii="宋体" w:hAnsi="宋体" w:cs="宋体"/>
                <w:color w:val="auto"/>
                <w:highlight w:val="none"/>
              </w:rPr>
            </w:pPr>
            <w:r>
              <w:rPr>
                <w:rFonts w:hint="eastAsia" w:ascii="宋体" w:hAnsi="宋体" w:cs="宋体"/>
                <w:color w:val="auto"/>
                <w:highlight w:val="none"/>
              </w:rPr>
              <w:t>1、受理方式：纸质方式受理，投诉书正、副本（经过质疑的事项才可投诉）。</w:t>
            </w:r>
          </w:p>
          <w:p>
            <w:pPr>
              <w:snapToGrid w:val="0"/>
              <w:spacing w:line="360" w:lineRule="auto"/>
              <w:rPr>
                <w:rFonts w:ascii="宋体" w:hAnsi="宋体" w:cs="宋体"/>
                <w:color w:val="auto"/>
                <w:highlight w:val="none"/>
              </w:rPr>
            </w:pPr>
            <w:r>
              <w:rPr>
                <w:rFonts w:hint="eastAsia" w:ascii="宋体" w:hAnsi="宋体" w:cs="宋体"/>
                <w:color w:val="auto"/>
                <w:highlight w:val="none"/>
              </w:rPr>
              <w:t>2、通讯方式</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名称： 广西壮族自治区财政厅 </w:t>
            </w:r>
          </w:p>
          <w:p>
            <w:pPr>
              <w:snapToGrid w:val="0"/>
              <w:spacing w:line="360" w:lineRule="auto"/>
              <w:rPr>
                <w:rFonts w:ascii="宋体" w:hAnsi="宋体" w:cs="宋体"/>
                <w:color w:val="auto"/>
                <w:highlight w:val="none"/>
              </w:rPr>
            </w:pPr>
            <w:r>
              <w:rPr>
                <w:rFonts w:hint="eastAsia" w:ascii="宋体" w:hAnsi="宋体" w:cs="宋体"/>
                <w:color w:val="auto"/>
                <w:highlight w:val="none"/>
              </w:rPr>
              <w:t xml:space="preserve">地址： 南宁市青秀区桃源路69号 </w:t>
            </w:r>
          </w:p>
          <w:p>
            <w:pPr>
              <w:snapToGrid w:val="0"/>
              <w:spacing w:line="360" w:lineRule="auto"/>
              <w:rPr>
                <w:rFonts w:ascii="宋体" w:hAnsi="宋体" w:cs="宋体"/>
                <w:color w:val="auto"/>
                <w:highlight w:val="none"/>
              </w:rPr>
            </w:pPr>
            <w:r>
              <w:rPr>
                <w:rFonts w:hint="eastAsia" w:ascii="宋体" w:hAnsi="宋体" w:cs="宋体"/>
                <w:color w:val="auto"/>
                <w:highlight w:val="none"/>
              </w:rPr>
              <w:t>联系电话：0771-5331544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采购代理服务费</w:t>
            </w:r>
          </w:p>
        </w:tc>
        <w:tc>
          <w:tcPr>
            <w:tcW w:w="6416" w:type="dxa"/>
            <w:vAlign w:val="center"/>
          </w:tcPr>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1. 本项目收取采购代理服务费</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2.采购代理服务费支付方式：</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本项目采购代理服务费由成交供应商在签订合同前，</w:t>
            </w:r>
            <w:r>
              <w:rPr>
                <w:rFonts w:hint="eastAsia" w:ascii="宋体" w:hAnsi="宋体" w:cs="宋体"/>
                <w:color w:val="auto"/>
                <w:highlight w:val="none"/>
              </w:rPr>
              <w:t>以银行转账、电汇等方式</w:t>
            </w:r>
            <w:r>
              <w:rPr>
                <w:rFonts w:hint="eastAsia" w:ascii="宋体" w:hAnsi="宋体" w:cs="宋体"/>
                <w:color w:val="auto"/>
                <w:kern w:val="0"/>
                <w:szCs w:val="21"/>
                <w:highlight w:val="none"/>
              </w:rPr>
              <w:t>一次性向采购代理机构支付。</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3.采购代理服务费收取标准：</w:t>
            </w:r>
          </w:p>
          <w:p>
            <w:pPr>
              <w:snapToGrid w:val="0"/>
              <w:spacing w:line="360" w:lineRule="auto"/>
              <w:rPr>
                <w:rFonts w:ascii="宋体" w:hAnsi="宋体" w:cs="宋体"/>
                <w:color w:val="auto"/>
                <w:kern w:val="0"/>
                <w:szCs w:val="21"/>
                <w:highlight w:val="none"/>
                <w:u w:val="single"/>
              </w:rPr>
            </w:pPr>
            <w:r>
              <w:rPr>
                <w:rFonts w:hint="eastAsia" w:ascii="宋体" w:hAnsi="宋体" w:cs="宋体"/>
                <w:color w:val="auto"/>
                <w:kern w:val="0"/>
                <w:szCs w:val="21"/>
                <w:highlight w:val="none"/>
              </w:rPr>
              <w:t>以项目预算金额为计费额，按</w:t>
            </w:r>
            <w:r>
              <w:rPr>
                <w:rFonts w:hint="eastAsia" w:ascii="宋体" w:hAnsi="宋体" w:cs="宋体"/>
                <w:color w:val="auto"/>
                <w:highlight w:val="none"/>
              </w:rPr>
              <w:t>本须知正文第33.2条规定的收费计算标准（</w:t>
            </w:r>
            <w:r>
              <w:rPr>
                <w:rFonts w:hint="eastAsia" w:ascii="宋体" w:hAnsi="宋体" w:cs="宋体"/>
                <w:b/>
                <w:bCs/>
                <w:color w:val="auto"/>
                <w:kern w:val="0"/>
                <w:szCs w:val="21"/>
                <w:highlight w:val="none"/>
                <w:u w:val="single"/>
              </w:rPr>
              <w:t>服务类</w:t>
            </w:r>
            <w:r>
              <w:rPr>
                <w:rFonts w:hint="eastAsia" w:ascii="宋体" w:hAnsi="宋体" w:cs="宋体"/>
                <w:color w:val="auto"/>
                <w:highlight w:val="none"/>
              </w:rPr>
              <w:t>）</w:t>
            </w:r>
            <w:r>
              <w:rPr>
                <w:rFonts w:hint="eastAsia" w:ascii="宋体" w:hAnsi="宋体" w:cs="宋体"/>
                <w:color w:val="auto"/>
                <w:kern w:val="0"/>
                <w:szCs w:val="21"/>
                <w:highlight w:val="none"/>
              </w:rPr>
              <w:t>采用差额定率累进法计算出收费基准价格，采购代理机构收费以收费基准价格收取。</w:t>
            </w:r>
          </w:p>
          <w:p>
            <w:pPr>
              <w:snapToGri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4.采购代理服务费收取银行账户的信息</w:t>
            </w:r>
          </w:p>
          <w:p>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开户名称：</w:t>
            </w:r>
            <w:r>
              <w:rPr>
                <w:rFonts w:hint="eastAsia" w:ascii="宋体" w:hAnsi="宋体" w:cs="宋体"/>
                <w:color w:val="auto"/>
                <w:kern w:val="0"/>
                <w:szCs w:val="21"/>
                <w:highlight w:val="none"/>
                <w:lang w:eastAsia="zh-CN"/>
              </w:rPr>
              <w:t>南宁华鑫招标代理有限公司</w:t>
            </w:r>
          </w:p>
          <w:p>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lang w:eastAsia="zh-CN"/>
              </w:rPr>
              <w:t>广西北部湾银行股份有限公司营业部</w:t>
            </w:r>
          </w:p>
          <w:p>
            <w:pPr>
              <w:snapToGrid w:val="0"/>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rPr>
              <w:t>银行账号：</w:t>
            </w:r>
            <w:r>
              <w:rPr>
                <w:rFonts w:hint="eastAsia" w:ascii="宋体" w:hAnsi="宋体" w:cs="宋体"/>
                <w:color w:val="auto"/>
                <w:kern w:val="0"/>
                <w:szCs w:val="21"/>
                <w:highlight w:val="none"/>
                <w:lang w:eastAsia="zh-CN"/>
              </w:rPr>
              <w:t>805331302700001</w:t>
            </w:r>
          </w:p>
          <w:p>
            <w:pPr>
              <w:snapToGrid w:val="0"/>
              <w:spacing w:line="360" w:lineRule="auto"/>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开户行行号：</w:t>
            </w:r>
            <w:r>
              <w:rPr>
                <w:rFonts w:hint="eastAsia" w:ascii="宋体" w:hAnsi="宋体" w:cs="宋体"/>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34.1</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highlight w:val="none"/>
              </w:rPr>
              <w:t>解释</w:t>
            </w:r>
          </w:p>
        </w:tc>
        <w:tc>
          <w:tcPr>
            <w:tcW w:w="6416" w:type="dxa"/>
            <w:vAlign w:val="center"/>
          </w:tcPr>
          <w:p>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解释：</w:t>
            </w:r>
            <w:r>
              <w:rPr>
                <w:rFonts w:hint="eastAsia" w:ascii="宋体" w:hAnsi="宋体" w:cs="宋体"/>
                <w:color w:val="auto"/>
                <w:kern w:val="0"/>
                <w:szCs w:val="21"/>
                <w:highlight w:val="none"/>
              </w:rPr>
              <w:t>构成本竞争性磋商文件的各个组成文件应互为解释，互为说明；除竞争性磋商文件中有特别规定外，仅适用于竞标阶段的规定，按更正公告（澄清公告）、竞争性磋商公告、采购需求、供应商须知、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cs="宋体"/>
                <w:b/>
                <w:color w:val="auto"/>
                <w:kern w:val="0"/>
                <w:szCs w:val="21"/>
                <w:highlight w:val="none"/>
              </w:rPr>
              <w:t>由采购人或者采购代理机构负责解释。</w:t>
            </w:r>
          </w:p>
          <w:p>
            <w:pPr>
              <w:snapToGrid w:val="0"/>
              <w:spacing w:line="400" w:lineRule="exact"/>
              <w:rPr>
                <w:rFonts w:ascii="宋体" w:hAnsi="宋体" w:cs="宋体"/>
                <w:b/>
                <w:color w:val="auto"/>
                <w:kern w:val="0"/>
                <w:szCs w:val="21"/>
                <w:highlight w:val="none"/>
              </w:rPr>
            </w:pPr>
            <w:r>
              <w:rPr>
                <w:rFonts w:hint="eastAsia" w:ascii="宋体" w:hAnsi="宋体" w:cs="宋体"/>
                <w:b/>
                <w:color w:val="auto"/>
                <w:kern w:val="0"/>
                <w:szCs w:val="21"/>
                <w:highlight w:val="none"/>
              </w:rPr>
              <w:t>法律责任：</w:t>
            </w:r>
          </w:p>
          <w:p>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3"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34.2</w:t>
            </w:r>
          </w:p>
        </w:tc>
        <w:tc>
          <w:tcPr>
            <w:tcW w:w="2390"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6416" w:type="dxa"/>
            <w:vAlign w:val="center"/>
          </w:tcPr>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竞争性磋商文件中描述供应商的“公章”是指根据我国对公章的管理规定，用供应商法定主体行为名称制作的实物印章或供应商通过指定电子化政府采购平台办理数字证书（CA认证）获得的以法定主体行为名称制作的电子印章。除本竞争性磋商文件有特殊规定外，供应商的财务章、部门章、工会章、合同章、投标专用章、业务专用章及银行的转账章、现金收讫章、现金付讫章等其他形式印章均不能代替公章。</w:t>
            </w:r>
          </w:p>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2.本竞争性磋商文件中描述供应商的“签字”是指供应商通过指定电子化政府采购平台办理数字证书（CA认证）获得的以供应商法定代表人或者委托代理人姓名制作的电子印章或手写签字。</w:t>
            </w:r>
          </w:p>
          <w:p>
            <w:pPr>
              <w:pStyle w:val="14"/>
              <w:tabs>
                <w:tab w:val="center" w:pos="4153"/>
                <w:tab w:val="right" w:pos="8306"/>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竞争性磋商文件所称的“电子签章”“电子签名”，是指经广西政府采购云平台认可的CA认证的电子签名数据为表现形式的印章，可用于签署电子响应文件，电子印章与实物印章具有同等法律效力，不因其采用电子化表现形式而否定其法律效力。</w:t>
            </w:r>
          </w:p>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4.供应商为其他组织、自然人时，本磋商文件规定的法定代表人指负责人或者自然人。本磋商文件所称负责人是指参加竞标的其他组织营业执照上的负责人，本磋商文件所称自然人指参与竞标的自然人本人。</w:t>
            </w:r>
          </w:p>
          <w:p>
            <w:pPr>
              <w:pStyle w:val="14"/>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5.自然人竞标的，竞争性磋商文件规定盖公章处由自然人摁手指指印。</w:t>
            </w:r>
          </w:p>
          <w:p>
            <w:pPr>
              <w:snapToGrid w:val="0"/>
              <w:spacing w:line="400" w:lineRule="exact"/>
              <w:rPr>
                <w:rFonts w:ascii="宋体" w:hAnsi="宋体" w:cs="宋体"/>
                <w:color w:val="auto"/>
                <w:kern w:val="0"/>
                <w:szCs w:val="21"/>
                <w:highlight w:val="none"/>
              </w:rPr>
            </w:pPr>
            <w:r>
              <w:rPr>
                <w:rFonts w:hint="eastAsia" w:ascii="宋体" w:hAnsi="宋体" w:cs="宋体"/>
                <w:color w:val="auto"/>
                <w:szCs w:val="21"/>
                <w:highlight w:val="none"/>
              </w:rPr>
              <w:t xml:space="preserve">    6.本竞争性磋商文件所称的“以上”“以下”“以内”“届满”，包括本数；所称的“不满”“超过”“以外”，不包括本数。</w:t>
            </w:r>
          </w:p>
        </w:tc>
      </w:tr>
    </w:tbl>
    <w:p>
      <w:pPr>
        <w:pStyle w:val="4"/>
        <w:spacing w:line="420" w:lineRule="exact"/>
        <w:jc w:val="center"/>
        <w:rPr>
          <w:rFonts w:ascii="宋体" w:hAnsi="宋体"/>
          <w:b w:val="0"/>
          <w:color w:val="auto"/>
          <w:highlight w:val="none"/>
        </w:rPr>
      </w:pPr>
      <w:r>
        <w:rPr>
          <w:rFonts w:ascii="宋体" w:hAnsi="宋体"/>
          <w:b w:val="0"/>
          <w:color w:val="auto"/>
          <w:highlight w:val="none"/>
        </w:rPr>
        <w:br w:type="page"/>
      </w:r>
      <w:bookmarkStart w:id="74" w:name="_Toc30957"/>
      <w:bookmarkStart w:id="75" w:name="_Toc80886929"/>
      <w:bookmarkStart w:id="76" w:name="_Toc27094"/>
      <w:r>
        <w:rPr>
          <w:rFonts w:hint="eastAsia" w:ascii="宋体" w:hAnsi="宋体"/>
          <w:b w:val="0"/>
          <w:color w:val="auto"/>
          <w:highlight w:val="none"/>
        </w:rPr>
        <w:t>第二节 供应商须知正文</w:t>
      </w:r>
      <w:bookmarkEnd w:id="74"/>
      <w:bookmarkEnd w:id="75"/>
      <w:bookmarkEnd w:id="76"/>
    </w:p>
    <w:p>
      <w:pPr>
        <w:pStyle w:val="5"/>
        <w:spacing w:before="0" w:after="0" w:line="360" w:lineRule="auto"/>
        <w:ind w:firstLine="640" w:firstLineChars="200"/>
        <w:rPr>
          <w:b w:val="0"/>
          <w:color w:val="auto"/>
          <w:highlight w:val="none"/>
        </w:rPr>
      </w:pPr>
      <w:bookmarkStart w:id="77" w:name="_Toc6457"/>
      <w:bookmarkStart w:id="78" w:name="_Toc26166"/>
      <w:bookmarkStart w:id="79" w:name="_Toc80886930"/>
      <w:r>
        <w:rPr>
          <w:rFonts w:hint="eastAsia"/>
          <w:b w:val="0"/>
          <w:color w:val="auto"/>
          <w:highlight w:val="none"/>
        </w:rPr>
        <w:t>一、总则</w:t>
      </w:r>
      <w:bookmarkEnd w:id="77"/>
      <w:bookmarkEnd w:id="78"/>
      <w:bookmarkEnd w:id="79"/>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1.适用范围</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2.定义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2.5“竞标”是指供应商按照本项目竞争性磋商公告规定的方式获取磋商文件、提交响应文件并希望获得标的的行为。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w:t>
      </w:r>
      <w:r>
        <w:rPr>
          <w:rFonts w:hint="eastAsia" w:ascii="宋体" w:hAnsi="宋体" w:cs="宋体"/>
          <w:color w:val="auto"/>
          <w:szCs w:val="21"/>
          <w:highlight w:val="none"/>
        </w:rPr>
        <w:t>报价文件、商务和技术文件</w:t>
      </w:r>
      <w:r>
        <w:rPr>
          <w:rFonts w:hint="eastAsia" w:ascii="宋体" w:hAnsi="宋体" w:cs="宋体"/>
          <w:color w:val="auto"/>
          <w:spacing w:val="-6"/>
          <w:szCs w:val="21"/>
          <w:highlight w:val="none"/>
        </w:rPr>
        <w:t>等所有内容的文件。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pPr>
        <w:spacing w:line="360" w:lineRule="auto"/>
        <w:ind w:firstLine="420" w:firstLineChars="200"/>
        <w:rPr>
          <w:rFonts w:cs="宋体"/>
          <w:color w:val="auto"/>
          <w:szCs w:val="21"/>
          <w:highlight w:val="none"/>
        </w:rPr>
      </w:pPr>
      <w:r>
        <w:rPr>
          <w:rFonts w:hint="eastAsia" w:ascii="宋体" w:hAnsi="宋体" w:cs="宋体"/>
          <w:color w:val="auto"/>
          <w:szCs w:val="21"/>
          <w:highlight w:val="none"/>
        </w:rPr>
        <w:t>2.13“评审报价”是指供应商提</w:t>
      </w:r>
      <w:r>
        <w:rPr>
          <w:rFonts w:hint="eastAsia" w:cs="宋体"/>
          <w:color w:val="auto"/>
          <w:szCs w:val="21"/>
          <w:highlight w:val="none"/>
        </w:rPr>
        <w:t>交的最后报价并经修正（如有）和政策功能价格扣除（如有）后的价格。</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3.供应商的资格条件</w:t>
      </w:r>
    </w:p>
    <w:p>
      <w:pPr>
        <w:spacing w:line="360" w:lineRule="auto"/>
        <w:ind w:firstLine="420" w:firstLineChars="200"/>
        <w:rPr>
          <w:rFonts w:cs="宋体"/>
          <w:color w:val="auto"/>
          <w:szCs w:val="21"/>
          <w:highlight w:val="none"/>
        </w:rPr>
      </w:pPr>
      <w:r>
        <w:rPr>
          <w:rFonts w:hint="eastAsia" w:cs="宋体"/>
          <w:color w:val="auto"/>
          <w:szCs w:val="21"/>
          <w:highlight w:val="none"/>
        </w:rPr>
        <w:t>供应商的资格条件详见“供应商须知前附表”。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4.磋商费用</w:t>
      </w:r>
    </w:p>
    <w:p>
      <w:pPr>
        <w:spacing w:line="360" w:lineRule="auto"/>
        <w:ind w:firstLine="420" w:firstLineChars="200"/>
        <w:rPr>
          <w:rFonts w:cs="宋体"/>
          <w:color w:val="auto"/>
          <w:szCs w:val="21"/>
          <w:highlight w:val="none"/>
        </w:rPr>
      </w:pPr>
      <w:r>
        <w:rPr>
          <w:rFonts w:hint="eastAsia" w:cs="宋体"/>
          <w:color w:val="auto"/>
          <w:szCs w:val="21"/>
          <w:highlight w:val="none"/>
        </w:rPr>
        <w:t>供应商应承担参与本次采购活动有关的所有费用，包括但不限于勘查现场、编制和提交响应文件、参加磋商与应答、签订合同等，不论竞标结果如何，均应自行承担。</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5.联合体竞标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 xml:space="preserve">6.转包与分包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pPr>
        <w:spacing w:line="360" w:lineRule="auto"/>
        <w:ind w:firstLine="481" w:firstLineChars="200"/>
        <w:rPr>
          <w:rFonts w:ascii="黑体" w:hAnsi="黑体" w:eastAsia="黑体" w:cs="宋体"/>
          <w:b/>
          <w:bCs/>
          <w:color w:val="auto"/>
          <w:sz w:val="24"/>
          <w:highlight w:val="none"/>
        </w:rPr>
      </w:pPr>
      <w:bookmarkStart w:id="80" w:name="_Toc254970532"/>
      <w:bookmarkStart w:id="81" w:name="_Toc254970673"/>
      <w:r>
        <w:rPr>
          <w:rFonts w:hint="eastAsia" w:ascii="黑体" w:hAnsi="黑体" w:eastAsia="黑体" w:cs="宋体"/>
          <w:b/>
          <w:bCs/>
          <w:color w:val="auto"/>
          <w:sz w:val="24"/>
          <w:highlight w:val="none"/>
        </w:rPr>
        <w:t>7.特别说明</w:t>
      </w:r>
      <w:bookmarkEnd w:id="80"/>
      <w:bookmarkEnd w:id="81"/>
    </w:p>
    <w:p>
      <w:pPr>
        <w:spacing w:line="360" w:lineRule="auto"/>
        <w:ind w:firstLine="420" w:firstLineChars="200"/>
        <w:rPr>
          <w:rFonts w:ascii="宋体" w:hAnsi="宋体" w:cs="宋体"/>
          <w:color w:val="auto"/>
          <w:szCs w:val="21"/>
          <w:highlight w:val="none"/>
        </w:rPr>
      </w:pPr>
      <w:bookmarkStart w:id="82" w:name="_8.1提供相同品牌产品且通过资格审查、符合性审查的不同投标人参加同一合"/>
      <w:bookmarkEnd w:id="82"/>
      <w:r>
        <w:rPr>
          <w:rFonts w:hint="eastAsia" w:ascii="宋体" w:hAnsi="宋体" w:cs="宋体"/>
          <w:color w:val="auto"/>
          <w:szCs w:val="21"/>
          <w:highlight w:val="none"/>
        </w:rPr>
        <w:t>7.1</w:t>
      </w:r>
      <w:bookmarkStart w:id="83" w:name="_Hlk65832145"/>
      <w:r>
        <w:rPr>
          <w:rFonts w:hint="eastAsia" w:ascii="宋体" w:hAnsi="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83"/>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7.4在政府采购活动中，采购人员及相关人员与供应商有下列利害关系之一的，应当回避：</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（1）参加采购活动前3年内与供应商存在劳动关系；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（2）参加采购活动前3年内担任供应商的董事、监事；</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（3）参加采购活动前3年内是供应商的控股股东或者实际控制人；</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（4）与供应商的法定代表人或者负责人有夫妻、直系血亲、三代以内旁系血亲或者近姻亲关系；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（5）与供应商有其他可能影响政府采购活动公平、公正进行的关系。</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7.5有下列情形之一的视为供应商相互串通竞标，响应文件将被视为无效：</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（1）不同供应商的响应文件由同一单位或者个人编制；或不同供应商报名的IP地址一致的； </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（2）不同供应商委托同一单位或者个人办理竞标事宜；</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（3）不同的供应商的响应文件载明的项目管理员为同一个人；</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（4）不同供应商的响应文件异常一致或者报价呈规律性差异；</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（5）不同供应商的响应文件相互混装；</w:t>
      </w:r>
    </w:p>
    <w:p>
      <w:pPr>
        <w:tabs>
          <w:tab w:val="left" w:pos="6931"/>
        </w:tabs>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（6）不同供应商的磋商保证金从同一单位或者个人账户转出。</w:t>
      </w:r>
      <w:r>
        <w:rPr>
          <w:rFonts w:hint="eastAsia" w:ascii="宋体" w:hAnsi="宋体" w:cs="宋体"/>
          <w:b/>
          <w:bCs/>
          <w:color w:val="auto"/>
          <w:szCs w:val="21"/>
          <w:highlight w:val="none"/>
        </w:rPr>
        <w:tab/>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7.6供应商有下列情形之一的，属于恶意串通行为，将报同级监督管理部门：</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（1）供应商直接或者间接从采购人或者采购代理机构处获得其他供应商的相关信息并修改其响应文件；</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（2）供应商按照采购人或者采购代理机构的授意撤换、修改响应文件；</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（3）供应商之间协商报价、技术方案等响应文件的实质性内容；</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（4）属于同一集团、协会、商会等组织成员的供应商按照该组织要求协同参加政府采购活动；</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（6）供应商之间商定部分供应商放弃参加政府采购活动或者放弃成交；</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（7）供应商与采购人或者采购代理机构之间、供应商相互之间，为谋求特定供应商成交或者排斥其他供应商的其他串通行为。</w:t>
      </w:r>
    </w:p>
    <w:p>
      <w:pPr>
        <w:pStyle w:val="5"/>
        <w:spacing w:before="0" w:after="0" w:line="360" w:lineRule="auto"/>
        <w:ind w:firstLine="640" w:firstLineChars="200"/>
        <w:rPr>
          <w:b w:val="0"/>
          <w:bCs w:val="0"/>
          <w:color w:val="auto"/>
          <w:highlight w:val="none"/>
        </w:rPr>
      </w:pPr>
      <w:bookmarkStart w:id="84" w:name="_Toc12713"/>
      <w:bookmarkStart w:id="85" w:name="_Toc254970534"/>
      <w:bookmarkStart w:id="86" w:name="_Toc27583"/>
      <w:bookmarkStart w:id="87" w:name="_Toc254970675"/>
      <w:bookmarkStart w:id="88" w:name="_Toc80886931"/>
    </w:p>
    <w:p>
      <w:pPr>
        <w:pStyle w:val="5"/>
        <w:spacing w:before="0" w:after="0" w:line="360" w:lineRule="auto"/>
        <w:ind w:firstLine="640" w:firstLineChars="200"/>
        <w:rPr>
          <w:b w:val="0"/>
          <w:bCs w:val="0"/>
          <w:color w:val="auto"/>
          <w:highlight w:val="none"/>
        </w:rPr>
      </w:pPr>
      <w:r>
        <w:rPr>
          <w:rFonts w:hint="eastAsia"/>
          <w:b w:val="0"/>
          <w:bCs w:val="0"/>
          <w:color w:val="auto"/>
          <w:highlight w:val="none"/>
        </w:rPr>
        <w:t>二、磋商文件</w:t>
      </w:r>
      <w:bookmarkEnd w:id="84"/>
      <w:bookmarkEnd w:id="85"/>
      <w:bookmarkEnd w:id="86"/>
      <w:bookmarkEnd w:id="87"/>
      <w:bookmarkEnd w:id="88"/>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8.磋商文件的构成</w:t>
      </w:r>
    </w:p>
    <w:p>
      <w:pPr>
        <w:spacing w:line="360" w:lineRule="auto"/>
        <w:ind w:firstLine="420" w:firstLineChars="200"/>
        <w:jc w:val="left"/>
        <w:rPr>
          <w:color w:val="auto"/>
          <w:szCs w:val="21"/>
          <w:highlight w:val="none"/>
        </w:rPr>
      </w:pPr>
      <w:r>
        <w:rPr>
          <w:rFonts w:hint="eastAsia"/>
          <w:color w:val="auto"/>
          <w:szCs w:val="21"/>
          <w:highlight w:val="none"/>
        </w:rPr>
        <w:t>第一章 竞争性磋商公告；</w:t>
      </w:r>
    </w:p>
    <w:p>
      <w:pPr>
        <w:spacing w:line="360" w:lineRule="auto"/>
        <w:ind w:firstLine="420" w:firstLineChars="200"/>
        <w:jc w:val="left"/>
        <w:rPr>
          <w:color w:val="auto"/>
          <w:szCs w:val="21"/>
          <w:highlight w:val="none"/>
        </w:rPr>
      </w:pPr>
      <w:r>
        <w:rPr>
          <w:rFonts w:hint="eastAsia"/>
          <w:color w:val="auto"/>
          <w:szCs w:val="21"/>
          <w:highlight w:val="none"/>
        </w:rPr>
        <w:t>第二章 采购需求；</w:t>
      </w:r>
    </w:p>
    <w:p>
      <w:pPr>
        <w:spacing w:line="360" w:lineRule="auto"/>
        <w:ind w:firstLine="420" w:firstLineChars="200"/>
        <w:jc w:val="left"/>
        <w:rPr>
          <w:color w:val="auto"/>
          <w:szCs w:val="21"/>
          <w:highlight w:val="none"/>
        </w:rPr>
      </w:pPr>
      <w:r>
        <w:rPr>
          <w:rFonts w:hint="eastAsia"/>
          <w:color w:val="auto"/>
          <w:szCs w:val="21"/>
          <w:highlight w:val="none"/>
        </w:rPr>
        <w:t xml:space="preserve">第三章 供应商须知； </w:t>
      </w:r>
    </w:p>
    <w:p>
      <w:pPr>
        <w:spacing w:line="360" w:lineRule="auto"/>
        <w:ind w:firstLine="420" w:firstLineChars="200"/>
        <w:jc w:val="left"/>
        <w:rPr>
          <w:color w:val="auto"/>
          <w:szCs w:val="21"/>
          <w:highlight w:val="none"/>
        </w:rPr>
      </w:pPr>
      <w:r>
        <w:rPr>
          <w:rFonts w:hint="eastAsia"/>
          <w:color w:val="auto"/>
          <w:szCs w:val="21"/>
          <w:highlight w:val="none"/>
        </w:rPr>
        <w:t>第四章 评审程序、评审方法和评审标准；</w:t>
      </w:r>
    </w:p>
    <w:p>
      <w:pPr>
        <w:spacing w:line="360" w:lineRule="auto"/>
        <w:ind w:firstLine="420" w:firstLineChars="200"/>
        <w:jc w:val="left"/>
        <w:rPr>
          <w:color w:val="auto"/>
          <w:szCs w:val="21"/>
          <w:highlight w:val="none"/>
        </w:rPr>
      </w:pPr>
      <w:r>
        <w:rPr>
          <w:rFonts w:hint="eastAsia"/>
          <w:color w:val="auto"/>
          <w:szCs w:val="21"/>
          <w:highlight w:val="none"/>
        </w:rPr>
        <w:t>第五章 响应文件格式；</w:t>
      </w:r>
    </w:p>
    <w:p>
      <w:pPr>
        <w:spacing w:line="360" w:lineRule="auto"/>
        <w:ind w:firstLine="420" w:firstLineChars="200"/>
        <w:jc w:val="left"/>
        <w:rPr>
          <w:color w:val="auto"/>
          <w:szCs w:val="21"/>
          <w:highlight w:val="none"/>
        </w:rPr>
      </w:pPr>
      <w:r>
        <w:rPr>
          <w:rFonts w:hint="eastAsia"/>
          <w:color w:val="auto"/>
          <w:szCs w:val="21"/>
          <w:highlight w:val="none"/>
        </w:rPr>
        <w:t>第六章 合同文本；</w:t>
      </w:r>
    </w:p>
    <w:p>
      <w:pPr>
        <w:spacing w:line="360" w:lineRule="auto"/>
        <w:ind w:firstLine="420" w:firstLineChars="200"/>
        <w:jc w:val="left"/>
        <w:rPr>
          <w:color w:val="auto"/>
          <w:szCs w:val="21"/>
          <w:highlight w:val="none"/>
        </w:rPr>
      </w:pPr>
      <w:r>
        <w:rPr>
          <w:rFonts w:hint="eastAsia"/>
          <w:color w:val="auto"/>
          <w:szCs w:val="21"/>
          <w:highlight w:val="none"/>
        </w:rPr>
        <w:t>第七章 质疑、投诉材料格式。</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9.供应商的询问</w:t>
      </w:r>
    </w:p>
    <w:p>
      <w:pPr>
        <w:spacing w:line="360" w:lineRule="auto"/>
        <w:ind w:firstLine="420" w:firstLineChars="200"/>
        <w:rPr>
          <w:color w:val="auto"/>
          <w:szCs w:val="21"/>
          <w:highlight w:val="none"/>
        </w:rPr>
      </w:pPr>
      <w:r>
        <w:rPr>
          <w:rFonts w:hint="eastAsia"/>
          <w:color w:val="auto"/>
          <w:szCs w:val="21"/>
          <w:highlight w:val="none"/>
        </w:rPr>
        <w:t>供应商应认真阅读磋商文件的采购需求，如供应商对磋商文件有疑问的，如要求采购人作出澄清或者修改的，供应商尽应在</w:t>
      </w:r>
      <w:r>
        <w:rPr>
          <w:color w:val="auto"/>
          <w:szCs w:val="21"/>
          <w:highlight w:val="none"/>
        </w:rPr>
        <w:t>提交首次响应文件截止之日前</w:t>
      </w:r>
      <w:r>
        <w:rPr>
          <w:rFonts w:hint="eastAsia"/>
          <w:color w:val="auto"/>
          <w:szCs w:val="21"/>
          <w:highlight w:val="none"/>
        </w:rPr>
        <w:t>，以书面形式向</w:t>
      </w:r>
      <w:r>
        <w:rPr>
          <w:color w:val="auto"/>
          <w:szCs w:val="21"/>
          <w:highlight w:val="none"/>
        </w:rPr>
        <w:t>采购人、采购代理机构</w:t>
      </w:r>
      <w:r>
        <w:rPr>
          <w:rFonts w:hint="eastAsia"/>
          <w:color w:val="auto"/>
          <w:szCs w:val="21"/>
          <w:highlight w:val="none"/>
        </w:rPr>
        <w:t>提出。</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10.磋商文件的澄清和修改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1" w:firstLineChars="200"/>
        <w:rPr>
          <w:rFonts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时间。澄清或者更正公告在竞争性磋商公告发布媒体上发布，一经发布，视作已以书面形式通知所有获取竞争性磋商文件的潜在供应商，不再另行通知，所有潜在供应商应密切关注竞争性磋商公告发布媒体，因未能及时获知，由此产生的后果均应自行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竞争性磋商公告”中“七、其他补充事宜2.网上查询地址”规定的政府采购信息发布媒体上发布更正公告。</w:t>
      </w:r>
    </w:p>
    <w:p>
      <w:pPr>
        <w:spacing w:line="360" w:lineRule="auto"/>
        <w:ind w:firstLine="400" w:firstLineChars="200"/>
        <w:rPr>
          <w:rFonts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响应文件未按磋商文件的澄清、修改的内容编制，又不符合实质性要求的，其响应文件按无效处理。</w:t>
      </w:r>
    </w:p>
    <w:p>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p>
    <w:p>
      <w:pPr>
        <w:pStyle w:val="5"/>
        <w:spacing w:before="0" w:after="0" w:line="360" w:lineRule="auto"/>
        <w:ind w:firstLine="320" w:firstLineChars="100"/>
        <w:rPr>
          <w:b w:val="0"/>
          <w:bCs w:val="0"/>
          <w:color w:val="auto"/>
          <w:highlight w:val="none"/>
        </w:rPr>
      </w:pPr>
      <w:r>
        <w:rPr>
          <w:rFonts w:hint="eastAsia"/>
          <w:b w:val="0"/>
          <w:bCs w:val="0"/>
          <w:color w:val="auto"/>
          <w:highlight w:val="none"/>
        </w:rPr>
        <w:t xml:space="preserve"> </w:t>
      </w:r>
      <w:bookmarkStart w:id="89" w:name="_Toc21690"/>
      <w:bookmarkStart w:id="90" w:name="_Toc80886932"/>
      <w:bookmarkStart w:id="91" w:name="_Toc21480"/>
      <w:r>
        <w:rPr>
          <w:rFonts w:hint="eastAsia"/>
          <w:b w:val="0"/>
          <w:bCs w:val="0"/>
          <w:color w:val="auto"/>
          <w:highlight w:val="none"/>
        </w:rPr>
        <w:t>三、响应文件的编制</w:t>
      </w:r>
      <w:bookmarkEnd w:id="89"/>
      <w:bookmarkEnd w:id="90"/>
      <w:bookmarkEnd w:id="91"/>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11.响应文件的编制原则</w:t>
      </w:r>
    </w:p>
    <w:p>
      <w:pPr>
        <w:spacing w:line="360" w:lineRule="auto"/>
        <w:ind w:firstLine="420" w:firstLineChars="200"/>
        <w:rPr>
          <w:rFonts w:cs="宋体"/>
          <w:color w:val="auto"/>
          <w:szCs w:val="21"/>
          <w:highlight w:val="none"/>
        </w:rPr>
      </w:pPr>
      <w:r>
        <w:rPr>
          <w:rFonts w:hint="eastAsia"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12.响应文件的组成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12.1.1资格证明文件：详见供应商须知前附表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12.1.2商务技术文件：详见供应商须知前附表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12.1.3报价文件：详见供应商须知前附表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12.2响应文件电子版：详见供应商须知前附表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13.计量单位</w:t>
      </w:r>
    </w:p>
    <w:p>
      <w:pPr>
        <w:spacing w:line="360" w:lineRule="auto"/>
        <w:ind w:firstLine="420" w:firstLineChars="200"/>
        <w:rPr>
          <w:rFonts w:cs="宋体"/>
          <w:color w:val="auto"/>
          <w:szCs w:val="21"/>
          <w:highlight w:val="none"/>
        </w:rPr>
      </w:pPr>
      <w:r>
        <w:rPr>
          <w:rFonts w:hint="eastAsia"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14.竞标的风险</w:t>
      </w:r>
    </w:p>
    <w:p>
      <w:pPr>
        <w:spacing w:line="360" w:lineRule="auto"/>
        <w:ind w:firstLine="420" w:firstLineChars="200"/>
        <w:rPr>
          <w:rFonts w:cs="宋体"/>
          <w:color w:val="auto"/>
          <w:szCs w:val="21"/>
          <w:highlight w:val="none"/>
        </w:rPr>
      </w:pPr>
      <w:r>
        <w:rPr>
          <w:rFonts w:hint="eastAsia"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15.响应报价要求和构成</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15.3响应报价要求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（1）供应商必须就“采购需求”中所竞标的项目/每个分标的全部内容分别作完整唯一总价报价，不得存在漏项报价；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（2）供应商必须就所竞标的项目/分标的单项内容作唯一报价。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15.3.2响应报价（包含首次报价、最后报价）超过所竞标项目/分标规定的采购预算金额或者最高限价的（如本项目公布了最高限价），其响应文件将按无效处理。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92" w:name="_Hlk42592874"/>
      <w:r>
        <w:rPr>
          <w:rFonts w:hint="eastAsia" w:ascii="宋体" w:hAnsi="宋体" w:cs="宋体"/>
          <w:color w:val="auto"/>
          <w:szCs w:val="21"/>
          <w:highlight w:val="none"/>
        </w:rPr>
        <w:t>响应报价（包含首次报价、最后报价）超过分项采购预算金额或者最高限价的（如本项目公布了最高限价），其响应文件将按无效处理。</w:t>
      </w:r>
    </w:p>
    <w:bookmarkEnd w:id="92"/>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16.竞标有效期</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pPr>
        <w:spacing w:line="360" w:lineRule="auto"/>
        <w:ind w:firstLine="481" w:firstLineChars="200"/>
        <w:rPr>
          <w:rFonts w:ascii="黑体" w:hAnsi="黑体" w:eastAsia="黑体" w:cs="宋体"/>
          <w:b/>
          <w:bCs/>
          <w:i/>
          <w:iCs/>
          <w:color w:val="auto"/>
          <w:sz w:val="24"/>
          <w:highlight w:val="none"/>
        </w:rPr>
      </w:pPr>
      <w:r>
        <w:rPr>
          <w:rFonts w:hint="eastAsia" w:ascii="黑体" w:hAnsi="黑体" w:eastAsia="黑体" w:cs="宋体"/>
          <w:b/>
          <w:bCs/>
          <w:color w:val="auto"/>
          <w:sz w:val="24"/>
          <w:highlight w:val="none"/>
        </w:rPr>
        <w:t>17.磋商保证金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pPr>
        <w:pStyle w:val="8"/>
        <w:spacing w:line="360" w:lineRule="auto"/>
        <w:ind w:firstLine="315" w:firstLineChars="150"/>
        <w:rPr>
          <w:rFonts w:ascii="宋体" w:hAnsi="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采用支票、汇票、本票或者金融机构、担保机构出具的保函等方式的，由供应商代表持相关授权证明材料至采购代理机构办理支票、汇票、本票或者金融机构、担保机构出具的保函等原件退还手续。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17.2.2成交供应商的磋商保证金自签订合同之日起5个工作日内退还，退还方式同未成交供应商的磋商保证金的退还方式；或者转为成交供应商的履约保证金。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pPr>
        <w:spacing w:line="360" w:lineRule="auto"/>
        <w:ind w:left="420" w:leftChars="200"/>
        <w:rPr>
          <w:rFonts w:cs="宋体"/>
          <w:color w:val="auto"/>
          <w:szCs w:val="21"/>
          <w:highlight w:val="none"/>
        </w:rPr>
      </w:pPr>
      <w:r>
        <w:rPr>
          <w:rFonts w:hint="eastAsia" w:ascii="宋体" w:hAnsi="宋体" w:cs="宋体"/>
          <w:color w:val="auto"/>
          <w:szCs w:val="21"/>
          <w:highlight w:val="none"/>
        </w:rPr>
        <w:t>（5）磋商文件规定的其他情形。</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18.响应文件编制的要求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18.2响应文件应按资格证明文件、报价文件分别编制，商务技术文件合并编制，本磋商只接受电子版响应文件，要求见本章“12.2响应文件电子版要求”。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w:t>
      </w:r>
      <w:bookmarkStart w:id="93" w:name="_Hlk65832699"/>
      <w:r>
        <w:rPr>
          <w:rFonts w:hint="eastAsia" w:ascii="宋体" w:hAnsi="宋体" w:cs="宋体"/>
          <w:color w:val="auto"/>
          <w:szCs w:val="21"/>
          <w:highlight w:val="none"/>
        </w:rPr>
        <w:t>3响应文件须由供应商按</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要求进行签署、盖章</w:t>
      </w:r>
      <w:bookmarkEnd w:id="93"/>
      <w:r>
        <w:rPr>
          <w:rFonts w:hint="eastAsia" w:ascii="宋体" w:hAnsi="宋体" w:cs="宋体"/>
          <w:color w:val="auto"/>
          <w:szCs w:val="21"/>
          <w:highlight w:val="none"/>
        </w:rPr>
        <w:t>，</w:t>
      </w:r>
      <w:r>
        <w:rPr>
          <w:rFonts w:hint="eastAsia" w:ascii="宋体" w:hAnsi="宋体" w:cs="宋体"/>
          <w:b/>
          <w:bCs/>
          <w:color w:val="auto"/>
          <w:szCs w:val="21"/>
          <w:highlight w:val="none"/>
        </w:rPr>
        <w:t>否则其响应文件按无效响应处理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18.4响应文件中标注的供应商名称应与营业执照（事业单位法人证书、执业许可证、自然人身份证）及供应商公章一致，</w:t>
      </w:r>
      <w:r>
        <w:rPr>
          <w:rFonts w:hint="eastAsia" w:ascii="宋体" w:hAnsi="宋体" w:cs="宋体"/>
          <w:b/>
          <w:bCs/>
          <w:color w:val="auto"/>
          <w:szCs w:val="21"/>
          <w:highlight w:val="none"/>
        </w:rPr>
        <w:t>否则其响应文件按无效响应处理。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18.5响应文件应避免涂改、行间插字或者删除。</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19.响应文件的密封和标记</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19.1供应商进行电子交易应安装客户端软件，并按照磋商文件和电子交易平台的要求编制并加密响应文件。供应商未按规定加密的响应文件，电子交易平台将拒收并提示。</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20.响应文件的提交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在提交“最后报价”后，供应商不能退出磋商。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pPr>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详见“供应商须知前附表”。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21.首次响应文件的补充、修改与撤回</w:t>
      </w:r>
    </w:p>
    <w:p>
      <w:pPr>
        <w:spacing w:line="360" w:lineRule="auto"/>
        <w:ind w:firstLine="420" w:firstLineChars="200"/>
        <w:rPr>
          <w:rFonts w:cs="宋体"/>
          <w:color w:val="auto"/>
          <w:szCs w:val="21"/>
          <w:highlight w:val="none"/>
        </w:rPr>
      </w:pPr>
      <w:r>
        <w:rPr>
          <w:rFonts w:hint="eastAsia" w:cs="宋体"/>
          <w:color w:val="auto"/>
          <w:szCs w:val="21"/>
          <w:highlight w:val="none"/>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pPr>
        <w:spacing w:line="360" w:lineRule="auto"/>
        <w:ind w:firstLine="481" w:firstLineChars="200"/>
        <w:rPr>
          <w:rFonts w:ascii="黑体" w:hAnsi="黑体" w:eastAsia="黑体" w:cs="宋体"/>
          <w:b/>
          <w:bCs/>
          <w:color w:val="auto"/>
          <w:sz w:val="24"/>
          <w:highlight w:val="none"/>
        </w:rPr>
      </w:pPr>
      <w:bookmarkStart w:id="94" w:name="_Hlk45702405"/>
      <w:r>
        <w:rPr>
          <w:rFonts w:hint="eastAsia" w:ascii="黑体" w:hAnsi="黑体" w:eastAsia="黑体" w:cs="宋体"/>
          <w:b/>
          <w:bCs/>
          <w:color w:val="auto"/>
          <w:sz w:val="24"/>
          <w:highlight w:val="none"/>
        </w:rPr>
        <w:t>22. 首次响应文件的退回</w:t>
      </w:r>
    </w:p>
    <w:p>
      <w:pPr>
        <w:spacing w:line="360" w:lineRule="auto"/>
        <w:ind w:firstLine="420" w:firstLineChars="200"/>
        <w:rPr>
          <w:rFonts w:cs="宋体"/>
          <w:color w:val="auto"/>
          <w:szCs w:val="21"/>
          <w:highlight w:val="none"/>
        </w:rPr>
      </w:pPr>
      <w:r>
        <w:rPr>
          <w:rFonts w:hint="eastAsia" w:cs="宋体"/>
          <w:color w:val="auto"/>
          <w:szCs w:val="21"/>
          <w:highlight w:val="none"/>
        </w:rPr>
        <w:t>在首次响应文件提交截止时间止提交响应文件的供应商不足3家时，电子响应文件的退回由广西政府采购云平台自动操作。</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23. 截止时间后的撤回</w:t>
      </w:r>
    </w:p>
    <w:bookmarkEnd w:id="94"/>
    <w:p>
      <w:pPr>
        <w:pStyle w:val="2"/>
        <w:spacing w:line="360" w:lineRule="auto"/>
        <w:ind w:firstLine="420" w:firstLineChars="200"/>
        <w:rPr>
          <w:rFonts w:cs="宋体"/>
          <w:i/>
          <w:iCs/>
          <w:color w:val="auto"/>
          <w:szCs w:val="21"/>
          <w:highlight w:val="none"/>
        </w:rPr>
      </w:pPr>
      <w:r>
        <w:rPr>
          <w:rFonts w:hint="eastAsia"/>
          <w:color w:val="auto"/>
          <w:highlight w:val="none"/>
        </w:rPr>
        <w:t>供应商在首次响应文件提交截止时间后向采购人、采购代理机构书面申请撤回电子响应文件的，将根据本须知正文17.4的规定不予退还其磋商保证金（如有）。</w:t>
      </w:r>
    </w:p>
    <w:p>
      <w:pPr>
        <w:pStyle w:val="5"/>
        <w:spacing w:before="0" w:after="0" w:line="360" w:lineRule="auto"/>
        <w:ind w:firstLine="640" w:firstLineChars="200"/>
        <w:rPr>
          <w:b w:val="0"/>
          <w:bCs w:val="0"/>
          <w:color w:val="auto"/>
          <w:highlight w:val="none"/>
        </w:rPr>
      </w:pPr>
      <w:r>
        <w:rPr>
          <w:rFonts w:hint="eastAsia"/>
          <w:b w:val="0"/>
          <w:bCs w:val="0"/>
          <w:color w:val="auto"/>
          <w:highlight w:val="none"/>
        </w:rPr>
        <w:t xml:space="preserve"> </w:t>
      </w:r>
      <w:bookmarkStart w:id="95" w:name="_Toc80886933"/>
      <w:bookmarkStart w:id="96" w:name="_Toc20044"/>
      <w:bookmarkStart w:id="97" w:name="_Toc17876"/>
    </w:p>
    <w:p>
      <w:pPr>
        <w:pStyle w:val="5"/>
        <w:spacing w:before="0" w:after="0" w:line="360" w:lineRule="auto"/>
        <w:ind w:firstLine="640" w:firstLineChars="200"/>
        <w:rPr>
          <w:b w:val="0"/>
          <w:bCs w:val="0"/>
          <w:color w:val="auto"/>
          <w:highlight w:val="none"/>
        </w:rPr>
      </w:pPr>
      <w:r>
        <w:rPr>
          <w:rFonts w:hint="eastAsia"/>
          <w:b w:val="0"/>
          <w:bCs w:val="0"/>
          <w:color w:val="auto"/>
          <w:highlight w:val="none"/>
        </w:rPr>
        <w:t>四、评审及磋商</w:t>
      </w:r>
      <w:bookmarkEnd w:id="95"/>
      <w:bookmarkEnd w:id="96"/>
      <w:bookmarkEnd w:id="97"/>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24.磋商小组成立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25.</w:t>
      </w:r>
      <w:r>
        <w:rPr>
          <w:rFonts w:hint="eastAsia" w:ascii="黑体" w:hAnsi="黑体" w:eastAsia="黑体" w:cs="宋体"/>
          <w:b/>
          <w:bCs/>
          <w:color w:val="auto"/>
          <w:sz w:val="24"/>
          <w:highlight w:val="none"/>
        </w:rPr>
        <w:t>首次响应文件的开启</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pPr>
        <w:spacing w:line="360" w:lineRule="auto"/>
        <w:ind w:firstLine="420" w:firstLineChars="200"/>
        <w:rPr>
          <w:rFonts w:ascii="宋体" w:hAnsi="宋体" w:cs="宋体"/>
          <w:bCs/>
          <w:color w:val="auto"/>
          <w:kern w:val="0"/>
          <w:szCs w:val="21"/>
          <w:highlight w:val="none"/>
        </w:rPr>
      </w:pPr>
      <w:r>
        <w:rPr>
          <w:rFonts w:hint="eastAsia" w:ascii="宋体" w:hAnsi="宋体" w:cs="宋体"/>
          <w:color w:val="auto"/>
          <w:kern w:val="0"/>
          <w:szCs w:val="21"/>
          <w:highlight w:val="none"/>
        </w:rPr>
        <w:t xml:space="preserve">25.2 </w:t>
      </w:r>
      <w:r>
        <w:rPr>
          <w:rFonts w:hint="eastAsia" w:ascii="宋体" w:hAnsi="宋体" w:cs="宋体"/>
          <w:bCs/>
          <w:color w:val="auto"/>
          <w:kern w:val="0"/>
          <w:szCs w:val="21"/>
          <w:highlight w:val="none"/>
        </w:rPr>
        <w:t>响应文件解密</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bCs/>
          <w:color w:val="auto"/>
          <w:kern w:val="0"/>
          <w:szCs w:val="21"/>
          <w:highlight w:val="none"/>
        </w:rPr>
        <w:t>采购代理机构将在“供应商须知前附表”规定的时</w:t>
      </w:r>
      <w:r>
        <w:rPr>
          <w:rFonts w:hint="eastAsia" w:ascii="宋体" w:hAnsi="宋体" w:cs="宋体"/>
          <w:color w:val="auto"/>
          <w:kern w:val="0"/>
          <w:szCs w:val="21"/>
          <w:highlight w:val="none"/>
        </w:rPr>
        <w:t>间通过电子交易平台组织响应文件开启，采购机构依托电子交易平台发起开始解密指令，供应商的法定代表人或其委托代理人</w:t>
      </w:r>
      <w:r>
        <w:rPr>
          <w:rFonts w:hint="eastAsia" w:ascii="宋体" w:hAnsi="宋体" w:cs="宋体"/>
          <w:b/>
          <w:color w:val="auto"/>
          <w:kern w:val="0"/>
          <w:szCs w:val="21"/>
          <w:highlight w:val="none"/>
        </w:rPr>
        <w:t>须携带加密时所用的CA锁按平台提示和采购文件的规定登录到广西政府采购云平台电子开标大厅签到并在规定的时间内完成对电子响应文件在线解密</w:t>
      </w:r>
      <w:r>
        <w:rPr>
          <w:rFonts w:hint="eastAsia" w:ascii="宋体" w:hAnsi="宋体" w:cs="宋体"/>
          <w:color w:val="auto"/>
          <w:kern w:val="0"/>
          <w:szCs w:val="21"/>
          <w:highlight w:val="none"/>
        </w:rPr>
        <w:t>。</w:t>
      </w:r>
      <w:r>
        <w:rPr>
          <w:rFonts w:hint="eastAsia" w:ascii="宋体" w:hAnsi="宋体" w:cs="宋体"/>
          <w:color w:val="auto"/>
          <w:kern w:val="1"/>
          <w:szCs w:val="21"/>
          <w:highlight w:val="none"/>
        </w:rPr>
        <w:t>响应文件未按时解密的</w:t>
      </w:r>
      <w:r>
        <w:rPr>
          <w:rFonts w:hint="eastAsia" w:ascii="宋体" w:hAnsi="宋体" w:cs="宋体"/>
          <w:color w:val="auto"/>
          <w:kern w:val="0"/>
          <w:szCs w:val="21"/>
          <w:highlight w:val="none"/>
        </w:rPr>
        <w:t>，</w:t>
      </w:r>
      <w:r>
        <w:rPr>
          <w:rFonts w:hint="eastAsia" w:ascii="宋体" w:hAnsi="宋体" w:cs="宋体"/>
          <w:b/>
          <w:color w:val="auto"/>
          <w:kern w:val="0"/>
          <w:szCs w:val="21"/>
          <w:highlight w:val="none"/>
        </w:rPr>
        <w:t>视为响应文件无效。</w:t>
      </w:r>
      <w:r>
        <w:rPr>
          <w:rFonts w:hint="eastAsia" w:ascii="宋体" w:hAnsi="宋体" w:cs="宋体"/>
          <w:color w:val="auto"/>
          <w:kern w:val="0"/>
          <w:szCs w:val="21"/>
          <w:highlight w:val="none"/>
        </w:rPr>
        <w:t>（解密</w:t>
      </w:r>
      <w:r>
        <w:rPr>
          <w:rFonts w:hint="eastAsia" w:ascii="宋体" w:hAnsi="宋体" w:cs="宋体"/>
          <w:bCs/>
          <w:color w:val="auto"/>
          <w:kern w:val="0"/>
          <w:szCs w:val="21"/>
          <w:highlight w:val="none"/>
        </w:rPr>
        <w:t>异常情况处理：详见本章</w:t>
      </w:r>
      <w:r>
        <w:rPr>
          <w:rFonts w:hint="eastAsia" w:ascii="宋体" w:hAnsi="宋体" w:cs="宋体"/>
          <w:color w:val="auto"/>
          <w:kern w:val="0"/>
          <w:szCs w:val="21"/>
          <w:highlight w:val="none"/>
        </w:rPr>
        <w:t>26.4电子交易活动的中止。）</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如</w:t>
      </w:r>
      <w:r>
        <w:rPr>
          <w:rFonts w:hint="eastAsia" w:ascii="宋体" w:hAnsi="宋体" w:cs="宋体"/>
          <w:bCs/>
          <w:color w:val="auto"/>
          <w:kern w:val="0"/>
          <w:szCs w:val="21"/>
          <w:highlight w:val="none"/>
        </w:rPr>
        <w:t>供应商成功解密响应文件，但未在广西政府采购云平台电子开标大厅参加磋商的，视同认可磋商过程和结果，</w:t>
      </w:r>
      <w:r>
        <w:rPr>
          <w:rFonts w:hint="eastAsia" w:ascii="宋体" w:hAnsi="宋体" w:cs="宋体"/>
          <w:color w:val="auto"/>
          <w:kern w:val="0"/>
          <w:szCs w:val="21"/>
          <w:highlight w:val="none"/>
        </w:rPr>
        <w:t>由此产生的后果由供应商自行负责。 参与磋商的供应商不足3家的，不得磋商。</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26</w:t>
      </w:r>
      <w:r>
        <w:rPr>
          <w:rFonts w:hint="eastAsia" w:ascii="黑体" w:hAnsi="黑体" w:eastAsia="黑体" w:cs="宋体"/>
          <w:b/>
          <w:bCs/>
          <w:color w:val="auto"/>
          <w:sz w:val="24"/>
          <w:highlight w:val="none"/>
        </w:rPr>
        <w:t>.评审程序、评审方法和评审标准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26.1本项目的评审方法详见“供应商须知前附表”。磋商小组按照“第四章 评审程序、评审方法和评审标准”规定的方法、评审因素、标准和程序对响应文件进行评审。</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26.2磋商文件内容违反国家有关强制性规定的，磋商小组应当停止评审并向采购人或者采购代理机构说明情况，并在评审报告中书面体现。</w:t>
      </w:r>
    </w:p>
    <w:p>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26.3 采购需求负偏离要求及磋商顺序详见“供应商须知前附表</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5"/>
        <w:spacing w:before="0" w:after="0" w:line="360" w:lineRule="auto"/>
        <w:ind w:firstLine="480" w:firstLineChars="150"/>
        <w:rPr>
          <w:b w:val="0"/>
          <w:bCs w:val="0"/>
          <w:color w:val="auto"/>
          <w:highlight w:val="none"/>
        </w:rPr>
      </w:pPr>
      <w:bookmarkStart w:id="98" w:name="_Toc80886934"/>
      <w:bookmarkStart w:id="99" w:name="_Toc17745"/>
      <w:bookmarkStart w:id="100" w:name="_Toc12018"/>
    </w:p>
    <w:p>
      <w:pPr>
        <w:pStyle w:val="5"/>
        <w:spacing w:before="0" w:after="0" w:line="360" w:lineRule="auto"/>
        <w:ind w:firstLine="480" w:firstLineChars="150"/>
        <w:rPr>
          <w:b w:val="0"/>
          <w:bCs w:val="0"/>
          <w:color w:val="auto"/>
          <w:highlight w:val="none"/>
        </w:rPr>
      </w:pPr>
      <w:r>
        <w:rPr>
          <w:rFonts w:hint="eastAsia"/>
          <w:b w:val="0"/>
          <w:bCs w:val="0"/>
          <w:color w:val="auto"/>
          <w:highlight w:val="none"/>
        </w:rPr>
        <w:t>五、成交及合同</w:t>
      </w:r>
      <w:bookmarkEnd w:id="98"/>
      <w:bookmarkEnd w:id="99"/>
      <w:bookmarkEnd w:id="100"/>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27</w:t>
      </w:r>
      <w:r>
        <w:rPr>
          <w:rFonts w:hint="eastAsia" w:ascii="黑体" w:hAnsi="黑体" w:eastAsia="黑体" w:cs="宋体"/>
          <w:b/>
          <w:bCs/>
          <w:color w:val="auto"/>
          <w:sz w:val="24"/>
          <w:highlight w:val="none"/>
        </w:rPr>
        <w:t>.确定成交供应商及结果公告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确定成交供应商。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27.2成交通知及成交结果公告。采购代理机构应当在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依法确定排名第二的成交候选人为成交供应商。排名第二的成交候选人因上述规定的同样原因被取消成交资格的，采购人可以依法确定排名第三的成交候选人为成交供应商，以此类推。以上信息查询记录及相关证据与磋商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27.5排名第一的成交候选人放弃成交，采购人可以按照评审报告推荐的成交候选人名单排序，依法确定下一候选人为成交</w:t>
      </w:r>
      <w:r>
        <w:rPr>
          <w:rFonts w:hint="eastAsia" w:ascii="宋体" w:hAnsi="宋体" w:cs="宋体"/>
          <w:color w:val="auto"/>
          <w:szCs w:val="21"/>
          <w:highlight w:val="none"/>
        </w:rPr>
        <w:t>供应商</w:t>
      </w:r>
      <w:r>
        <w:rPr>
          <w:rFonts w:hint="eastAsia" w:ascii="宋体" w:hAnsi="宋体" w:cs="宋体"/>
          <w:bCs/>
          <w:color w:val="auto"/>
          <w:szCs w:val="21"/>
          <w:highlight w:val="none"/>
        </w:rPr>
        <w:t>，也可以重新开展政府采购活动</w:t>
      </w:r>
      <w:r>
        <w:rPr>
          <w:rFonts w:hint="eastAsia" w:ascii="宋体" w:hAnsi="宋体" w:cs="宋体"/>
          <w:color w:val="auto"/>
          <w:szCs w:val="21"/>
          <w:highlight w:val="none"/>
        </w:rPr>
        <w:t>。</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28</w:t>
      </w:r>
      <w:r>
        <w:rPr>
          <w:rFonts w:hint="eastAsia" w:ascii="黑体" w:hAnsi="黑体" w:eastAsia="黑体" w:cs="宋体"/>
          <w:b/>
          <w:bCs/>
          <w:color w:val="auto"/>
          <w:sz w:val="24"/>
          <w:highlight w:val="none"/>
        </w:rPr>
        <w:t>.履约保证金</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.1</w:t>
      </w:r>
      <w:r>
        <w:rPr>
          <w:rFonts w:ascii="宋体" w:hAnsi="宋体" w:cs="宋体"/>
          <w:color w:val="auto"/>
          <w:szCs w:val="21"/>
          <w:highlight w:val="none"/>
        </w:rPr>
        <w:t xml:space="preserve"> </w:t>
      </w:r>
      <w:r>
        <w:rPr>
          <w:rFonts w:hint="eastAsia" w:ascii="宋体" w:hAnsi="宋体" w:cs="宋体"/>
          <w:color w:val="auto"/>
          <w:szCs w:val="21"/>
          <w:highlight w:val="none"/>
        </w:rPr>
        <w:t>履约保证金的金额、提交方式、退付的时间和条件详见 “供应商须知前附表”。成交供应商未按规定提交履约保证金的，视为拒绝</w:t>
      </w:r>
      <w:r>
        <w:rPr>
          <w:rFonts w:ascii="宋体" w:hAnsi="宋体"/>
          <w:color w:val="auto"/>
          <w:highlight w:val="none"/>
        </w:rPr>
        <w:t>与采购人</w:t>
      </w:r>
      <w:r>
        <w:rPr>
          <w:rFonts w:hint="eastAsia" w:ascii="宋体" w:hAnsi="宋体" w:cs="宋体"/>
          <w:color w:val="auto"/>
          <w:szCs w:val="21"/>
          <w:highlight w:val="none"/>
        </w:rPr>
        <w:t>签订合同，采购人可以按照评审报告推荐的成交候选人名单排序，依法确定下一候选人为成交供应商，也可以重新开展政府采购活动。</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.2签订合同后，如成交供应商不按双方签订的合同规定履约，则没收其全部履约保证金，履约保证金不足以赔偿损失的，按实际损失赔偿。</w:t>
      </w:r>
    </w:p>
    <w:p>
      <w:pPr>
        <w:spacing w:line="360" w:lineRule="auto"/>
        <w:ind w:firstLine="424" w:firstLineChars="202"/>
        <w:rPr>
          <w:rFonts w:ascii="宋体" w:hAnsi="宋体" w:cs="宋体"/>
          <w:color w:val="auto"/>
          <w:szCs w:val="21"/>
          <w:highlight w:val="none"/>
        </w:rPr>
      </w:pPr>
      <w:r>
        <w:rPr>
          <w:rFonts w:ascii="宋体" w:hAnsi="宋体" w:cs="宋体"/>
          <w:color w:val="auto"/>
          <w:szCs w:val="21"/>
          <w:highlight w:val="none"/>
        </w:rPr>
        <w:t>28</w:t>
      </w: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在履约保证金退还日期前，若成交供应商的开户名称、开户银行、账号有变动的，请以书面形式通知履约保证金收取单位，否则由此产生的后果由成交供应商自行承担。</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29</w:t>
      </w:r>
      <w:r>
        <w:rPr>
          <w:rFonts w:hint="eastAsia" w:ascii="黑体" w:hAnsi="黑体" w:eastAsia="黑体" w:cs="宋体"/>
          <w:b/>
          <w:bCs/>
          <w:color w:val="auto"/>
          <w:sz w:val="24"/>
          <w:highlight w:val="none"/>
        </w:rPr>
        <w:t>.签订合同</w:t>
      </w:r>
    </w:p>
    <w:p>
      <w:pPr>
        <w:pStyle w:val="67"/>
        <w:snapToGrid w:val="0"/>
        <w:spacing w:before="0"/>
        <w:ind w:firstLine="420"/>
        <w:rPr>
          <w:rFonts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依法确定下一候选人为成交供应商，也可以重新开展采购活动。拒绝签订政府采购合同的成交供应商不得参加对该项目重新开展的采购活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pPr>
        <w:spacing w:line="360" w:lineRule="auto"/>
        <w:ind w:firstLine="420" w:firstLineChars="200"/>
        <w:rPr>
          <w:rFonts w:ascii="宋体" w:hAnsi="宋体" w:cs="宋体"/>
          <w:b/>
          <w:bCs/>
          <w:i/>
          <w:iCs/>
          <w:color w:val="auto"/>
          <w:szCs w:val="21"/>
          <w:highlight w:val="none"/>
        </w:rPr>
      </w:pPr>
      <w:r>
        <w:rPr>
          <w:rFonts w:hint="eastAsia" w:ascii="宋体" w:hAnsi="宋体" w:cs="宋体"/>
          <w:color w:val="auto"/>
          <w:szCs w:val="21"/>
          <w:highlight w:val="none"/>
        </w:rPr>
        <w:t>29.5采购合同由采购人与成交供应商根据磋商文件、响应文件等内容签订，成交供应商应当在签订合同时向采购人出示相关证明材料，具体内容详见 “供应商须知前附表”，经采购人核验合格后方可签订合同。</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30</w:t>
      </w:r>
      <w:r>
        <w:rPr>
          <w:rFonts w:hint="eastAsia" w:ascii="黑体" w:hAnsi="黑体" w:eastAsia="黑体" w:cs="宋体"/>
          <w:b/>
          <w:bCs/>
          <w:color w:val="auto"/>
          <w:sz w:val="24"/>
          <w:highlight w:val="none"/>
        </w:rPr>
        <w:t>.政府采购合同公告</w:t>
      </w:r>
    </w:p>
    <w:p>
      <w:pPr>
        <w:spacing w:line="360" w:lineRule="auto"/>
        <w:ind w:firstLine="420" w:firstLineChars="200"/>
        <w:rPr>
          <w:rFonts w:ascii="Calibri"/>
          <w:color w:val="auto"/>
          <w:highlight w:val="none"/>
        </w:rPr>
      </w:pPr>
      <w:r>
        <w:rPr>
          <w:rFonts w:hint="eastAsia" w:ascii="宋体" w:hAnsi="宋体" w:cs="宋体"/>
          <w:color w:val="auto"/>
          <w:szCs w:val="21"/>
          <w:highlight w:val="none"/>
        </w:rPr>
        <w:t>采购人应当自政府采购合同签订之日起2个工作日内，将政府采购合同在省级以上人民政府财政部门指定的媒体上公告，但政府采购合同中涉及国家秘密、商业秘密的内容除外</w:t>
      </w:r>
      <w:r>
        <w:rPr>
          <w:rFonts w:ascii="Calibri"/>
          <w:color w:val="auto"/>
          <w:highlight w:val="none"/>
        </w:rPr>
        <w:t>。</w:t>
      </w:r>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31</w:t>
      </w:r>
      <w:r>
        <w:rPr>
          <w:rFonts w:hint="eastAsia" w:ascii="黑体" w:hAnsi="黑体" w:eastAsia="黑体" w:cs="宋体"/>
          <w:b/>
          <w:bCs/>
          <w:color w:val="auto"/>
          <w:sz w:val="24"/>
          <w:highlight w:val="none"/>
        </w:rPr>
        <w:t>. 询问、质疑和投诉</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31.1供应商对政府采购活动事项有疑问的，可以向采购人或者采购代理机构提出询问，采购人或者采购代理机构应当在3个工作日内对供应商依法提出的询问作出答复。</w:t>
      </w:r>
    </w:p>
    <w:p>
      <w:pPr>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31.2供应商认为磋商文件、采购过程或者成交结果使自己的合法权益受到损害的，应当在知道或者应知其权益受到损害之日起7个工作日内，以书面形式向采购人或者采购代理机构提出质疑，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者采购代理机构提出，由采购人或者采购代理机构受理并负责答复；对采购过程中采购执行程序的质疑由采购代理机构受理并负责答复。</w:t>
      </w:r>
    </w:p>
    <w:p>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1" w:firstLineChars="200"/>
        <w:rPr>
          <w:rFonts w:ascii="宋体" w:hAnsi="宋体" w:cs="宋体"/>
          <w:color w:val="auto"/>
          <w:highlight w:val="none"/>
        </w:rPr>
      </w:pPr>
      <w:r>
        <w:rPr>
          <w:rFonts w:hint="eastAsia" w:ascii="宋体" w:hAnsi="宋体" w:cs="宋体"/>
          <w:b/>
          <w:bCs/>
          <w:color w:val="auto"/>
          <w:highlight w:val="none"/>
        </w:rPr>
        <w:t>31.4 供应商提出质疑应当提交质疑函和必要的证明材料，针对同一采购程序环节的质疑必须在法定质疑期内一次性提出。质疑函应当包括下列内容（质疑函格式后附）：</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pPr>
        <w:spacing w:line="360" w:lineRule="auto"/>
        <w:ind w:firstLine="421" w:firstLineChars="200"/>
        <w:rPr>
          <w:rFonts w:ascii="宋体" w:hAnsi="宋体" w:cs="宋体"/>
          <w:color w:val="auto"/>
          <w:highlight w:val="none"/>
        </w:rPr>
      </w:pPr>
      <w:r>
        <w:rPr>
          <w:rFonts w:hint="eastAsia" w:ascii="宋体" w:hAnsi="宋体" w:cs="宋体"/>
          <w:b/>
          <w:bCs/>
          <w:color w:val="auto"/>
          <w:highlight w:val="none"/>
        </w:rPr>
        <w:t>31.6投诉的权利。质疑供应商对采购人或采购代理机构的答复不满意，或者采购人或采购代理机构未在规定时间内作出答复的，可以在答复期满后15个工作日内向《政府采购质疑和投诉办法》（财政部令第94号）第六条规定的财政部门提起投诉（投诉书格式后附），受理投诉方式见“供应商须知前附表”</w:t>
      </w:r>
      <w:r>
        <w:rPr>
          <w:rFonts w:hint="eastAsia" w:ascii="宋体" w:hAnsi="宋体" w:cs="宋体"/>
          <w:color w:val="auto"/>
          <w:highlight w:val="none"/>
        </w:rPr>
        <w:t>。</w:t>
      </w:r>
      <w:bookmarkStart w:id="101" w:name="_Toc80205930"/>
    </w:p>
    <w:p>
      <w:pPr>
        <w:pStyle w:val="5"/>
        <w:spacing w:before="0" w:after="0" w:line="360" w:lineRule="auto"/>
        <w:ind w:firstLine="314" w:firstLineChars="98"/>
        <w:rPr>
          <w:color w:val="auto"/>
          <w:highlight w:val="none"/>
        </w:rPr>
      </w:pPr>
      <w:bookmarkStart w:id="102" w:name="_Toc26989"/>
      <w:bookmarkStart w:id="103" w:name="_Toc9275"/>
      <w:bookmarkStart w:id="104" w:name="_Toc80886935"/>
    </w:p>
    <w:p>
      <w:pPr>
        <w:pStyle w:val="5"/>
        <w:spacing w:before="0" w:after="0" w:line="360" w:lineRule="auto"/>
        <w:ind w:firstLine="313" w:firstLineChars="98"/>
        <w:rPr>
          <w:b w:val="0"/>
          <w:color w:val="auto"/>
          <w:highlight w:val="none"/>
        </w:rPr>
      </w:pPr>
      <w:r>
        <w:rPr>
          <w:rFonts w:hint="eastAsia"/>
          <w:b w:val="0"/>
          <w:bCs w:val="0"/>
          <w:color w:val="auto"/>
          <w:highlight w:val="none"/>
        </w:rPr>
        <w:t>六</w:t>
      </w:r>
      <w:r>
        <w:rPr>
          <w:rFonts w:hint="eastAsia"/>
          <w:b w:val="0"/>
          <w:color w:val="auto"/>
          <w:highlight w:val="none"/>
        </w:rPr>
        <w:t>、验收</w:t>
      </w:r>
      <w:bookmarkEnd w:id="101"/>
      <w:bookmarkEnd w:id="102"/>
      <w:bookmarkEnd w:id="103"/>
      <w:bookmarkEnd w:id="104"/>
    </w:p>
    <w:p>
      <w:pPr>
        <w:tabs>
          <w:tab w:val="left" w:pos="0"/>
        </w:tabs>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32.验收</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rPr>
        <w:t>（如有）</w:t>
      </w:r>
      <w:r>
        <w:rPr>
          <w:rFonts w:hint="eastAsia" w:ascii="宋体" w:hAnsi="宋体" w:cs="宋体"/>
          <w:color w:val="auto"/>
          <w:kern w:val="0"/>
          <w:szCs w:val="21"/>
          <w:highlight w:val="none"/>
        </w:rPr>
        <w:t>返还条件挂钩。履约验收的各项资料应当存档备查。</w:t>
      </w:r>
    </w:p>
    <w:p>
      <w:pPr>
        <w:tabs>
          <w:tab w:val="left" w:pos="0"/>
        </w:tabs>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5"/>
        <w:spacing w:before="0" w:after="0" w:line="360" w:lineRule="auto"/>
        <w:ind w:firstLine="320" w:firstLineChars="100"/>
        <w:rPr>
          <w:b w:val="0"/>
          <w:bCs w:val="0"/>
          <w:color w:val="auto"/>
          <w:highlight w:val="none"/>
        </w:rPr>
      </w:pPr>
      <w:bookmarkStart w:id="105" w:name="_Toc80886936"/>
      <w:bookmarkStart w:id="106" w:name="_Toc10913"/>
      <w:bookmarkStart w:id="107" w:name="_Toc1170"/>
    </w:p>
    <w:p>
      <w:pPr>
        <w:pStyle w:val="5"/>
        <w:spacing w:before="0" w:after="0" w:line="360" w:lineRule="auto"/>
        <w:ind w:firstLine="320" w:firstLineChars="100"/>
        <w:rPr>
          <w:b w:val="0"/>
          <w:bCs w:val="0"/>
          <w:color w:val="auto"/>
          <w:highlight w:val="none"/>
        </w:rPr>
      </w:pPr>
      <w:r>
        <w:rPr>
          <w:rFonts w:hint="eastAsia"/>
          <w:b w:val="0"/>
          <w:bCs w:val="0"/>
          <w:color w:val="auto"/>
          <w:highlight w:val="none"/>
        </w:rPr>
        <w:t>七、其他事项</w:t>
      </w:r>
      <w:bookmarkEnd w:id="105"/>
      <w:bookmarkEnd w:id="106"/>
      <w:bookmarkEnd w:id="107"/>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3</w:t>
      </w:r>
      <w:r>
        <w:rPr>
          <w:rFonts w:hint="eastAsia" w:ascii="黑体" w:hAnsi="黑体" w:eastAsia="黑体" w:cs="宋体"/>
          <w:b/>
          <w:bCs/>
          <w:color w:val="auto"/>
          <w:sz w:val="24"/>
          <w:highlight w:val="none"/>
        </w:rPr>
        <w:t>3.采购代理服务费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33.1 采购代理服务费收费标准及缴费账户详见“供应商须知前附表”，供应商为联合体的，可以由联合体中的一方或者多方共同缴纳采购代理服务费。</w:t>
      </w:r>
    </w:p>
    <w:p>
      <w:pPr>
        <w:pStyle w:val="2"/>
        <w:ind w:firstLine="420" w:firstLineChars="200"/>
        <w:rPr>
          <w:rFonts w:ascii="宋体" w:hAnsi="宋体" w:cs="宋体"/>
          <w:color w:val="auto"/>
          <w:highlight w:val="none"/>
        </w:rPr>
      </w:pPr>
      <w:r>
        <w:rPr>
          <w:rFonts w:hint="eastAsia" w:ascii="宋体" w:hAnsi="宋体" w:cs="宋体"/>
          <w:color w:val="auto"/>
          <w:szCs w:val="21"/>
          <w:highlight w:val="none"/>
        </w:rPr>
        <w:t>33.2采购代理服务费收费计算标准：</w:t>
      </w:r>
    </w:p>
    <w:tbl>
      <w:tblPr>
        <w:tblStyle w:val="31"/>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100亿元以上</w:t>
            </w:r>
          </w:p>
        </w:tc>
        <w:tc>
          <w:tcPr>
            <w:tcW w:w="1659" w:type="dxa"/>
          </w:tcPr>
          <w:p>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例如：本项目预算金额为1</w:t>
      </w:r>
      <w:r>
        <w:rPr>
          <w:rFonts w:hint="eastAsia" w:ascii="宋体" w:hAnsi="宋体" w:cs="宋体"/>
          <w:color w:val="auto"/>
          <w:highlight w:val="none"/>
          <w:lang w:val="en-US" w:eastAsia="zh-CN"/>
        </w:rPr>
        <w:t>00</w:t>
      </w:r>
      <w:r>
        <w:rPr>
          <w:rFonts w:hint="eastAsia" w:ascii="宋体" w:hAnsi="宋体" w:cs="宋体"/>
          <w:color w:val="auto"/>
          <w:highlight w:val="none"/>
        </w:rPr>
        <w:t>万元，计算采购代理收费额如下：</w:t>
      </w: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34</w:t>
      </w:r>
      <w:r>
        <w:rPr>
          <w:rFonts w:ascii="黑体" w:hAnsi="黑体" w:eastAsia="黑体" w:cs="宋体"/>
          <w:b/>
          <w:bCs/>
          <w:color w:val="auto"/>
          <w:sz w:val="24"/>
          <w:highlight w:val="none"/>
        </w:rPr>
        <w:t>.需要补充的其他内容</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34.1本磋商文件解释规则详见“供应商须知前附表”。</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34.2 其他事项详见“供应商须知前附表”。</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cs="宋体"/>
          <w:color w:val="auto"/>
          <w:kern w:val="0"/>
          <w:szCs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ascii="宋体" w:hAnsi="宋体" w:cs="宋体"/>
          <w:color w:val="auto"/>
          <w:szCs w:val="21"/>
          <w:highlight w:val="none"/>
        </w:rPr>
        <w:t>，享受本文件规定的中小企业扶持政策。</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以联合体形式参加政府采购活动，联合体各方均为中小企业的，联合体视同中小企业。其中，联合体各方均为小微企业的，联合体视同小微企业。</w:t>
      </w:r>
    </w:p>
    <w:p>
      <w:pPr>
        <w:spacing w:line="360" w:lineRule="auto"/>
        <w:ind w:firstLine="420" w:firstLineChars="200"/>
        <w:textAlignment w:val="center"/>
        <w:rPr>
          <w:rFonts w:ascii="宋体" w:hAnsi="宋体" w:cs="宋体"/>
          <w:color w:val="auto"/>
          <w:szCs w:val="21"/>
          <w:highlight w:val="none"/>
        </w:rPr>
      </w:pPr>
      <w:r>
        <w:rPr>
          <w:rFonts w:hint="eastAsia" w:ascii="宋体" w:hAnsi="宋体" w:cs="宋体"/>
          <w:color w:val="auto"/>
          <w:szCs w:val="21"/>
          <w:highlight w:val="none"/>
        </w:rPr>
        <w:t>依据本文件规定享受扶持政策获得政府采购合同的，小微企业不得将合同分包给大中型企业，中型企业不得将合同分包给大型企业。</w:t>
      </w:r>
    </w:p>
    <w:p>
      <w:pPr>
        <w:spacing w:line="24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pPr>
        <w:pStyle w:val="3"/>
        <w:spacing w:line="240" w:lineRule="auto"/>
        <w:jc w:val="center"/>
        <w:rPr>
          <w:rFonts w:ascii="Calibri" w:hAnsi="Calibri"/>
          <w:color w:val="auto"/>
          <w:highlight w:val="none"/>
        </w:rPr>
      </w:pPr>
      <w:bookmarkStart w:id="108" w:name="_Toc80886937"/>
      <w:bookmarkStart w:id="109" w:name="_Toc1088"/>
      <w:bookmarkStart w:id="110" w:name="_Toc28979"/>
      <w:bookmarkStart w:id="111" w:name="_Toc3879"/>
      <w:bookmarkStart w:id="112" w:name="_Toc8593"/>
      <w:bookmarkStart w:id="113" w:name="_Toc8412"/>
      <w:bookmarkStart w:id="114" w:name="_Toc3976"/>
      <w:bookmarkStart w:id="115" w:name="_Toc17511"/>
      <w:r>
        <w:rPr>
          <w:rFonts w:hint="eastAsia" w:ascii="Calibri" w:hAnsi="Calibri"/>
          <w:color w:val="auto"/>
          <w:highlight w:val="none"/>
        </w:rPr>
        <w:t>第四章  评审程序、评审方法和评审标准</w:t>
      </w:r>
      <w:bookmarkEnd w:id="108"/>
      <w:bookmarkEnd w:id="109"/>
      <w:bookmarkEnd w:id="110"/>
      <w:bookmarkEnd w:id="111"/>
      <w:bookmarkEnd w:id="112"/>
      <w:bookmarkEnd w:id="113"/>
      <w:bookmarkEnd w:id="114"/>
      <w:bookmarkEnd w:id="115"/>
    </w:p>
    <w:p>
      <w:pPr>
        <w:pStyle w:val="4"/>
        <w:jc w:val="center"/>
        <w:rPr>
          <w:rFonts w:ascii="宋体" w:hAnsi="宋体"/>
          <w:b w:val="0"/>
          <w:color w:val="auto"/>
          <w:highlight w:val="none"/>
        </w:rPr>
      </w:pPr>
      <w:bookmarkStart w:id="116" w:name="_Toc17424"/>
      <w:bookmarkStart w:id="117" w:name="_Toc80886938"/>
      <w:bookmarkStart w:id="118" w:name="_Toc11607"/>
      <w:r>
        <w:rPr>
          <w:rFonts w:hint="eastAsia" w:ascii="宋体" w:hAnsi="宋体"/>
          <w:b w:val="0"/>
          <w:color w:val="auto"/>
          <w:highlight w:val="none"/>
        </w:rPr>
        <w:t>第一节 评审程序和评审方法</w:t>
      </w:r>
      <w:bookmarkEnd w:id="116"/>
      <w:bookmarkEnd w:id="117"/>
      <w:bookmarkEnd w:id="118"/>
    </w:p>
    <w:p>
      <w:pPr>
        <w:spacing w:line="360" w:lineRule="auto"/>
        <w:ind w:firstLine="481" w:firstLineChars="200"/>
        <w:rPr>
          <w:rFonts w:ascii="黑体" w:hAnsi="黑体" w:eastAsia="黑体" w:cs="宋体"/>
          <w:b/>
          <w:bCs/>
          <w:color w:val="auto"/>
          <w:sz w:val="24"/>
          <w:highlight w:val="none"/>
        </w:rPr>
      </w:pPr>
      <w:r>
        <w:rPr>
          <w:rFonts w:ascii="黑体" w:hAnsi="黑体" w:eastAsia="黑体" w:cs="宋体"/>
          <w:b/>
          <w:bCs/>
          <w:color w:val="auto"/>
          <w:sz w:val="24"/>
          <w:highlight w:val="none"/>
        </w:rPr>
        <w:t>1</w:t>
      </w:r>
      <w:r>
        <w:rPr>
          <w:rFonts w:hint="eastAsia" w:ascii="黑体" w:hAnsi="黑体" w:eastAsia="黑体" w:cs="宋体"/>
          <w:b/>
          <w:bCs/>
          <w:color w:val="auto"/>
          <w:sz w:val="24"/>
          <w:highlight w:val="none"/>
        </w:rPr>
        <w:t>.确认磋商文件</w:t>
      </w:r>
    </w:p>
    <w:p>
      <w:pPr>
        <w:spacing w:line="360" w:lineRule="auto"/>
        <w:ind w:firstLine="420" w:firstLineChars="200"/>
        <w:rPr>
          <w:rFonts w:cs="宋体"/>
          <w:color w:val="auto"/>
          <w:szCs w:val="21"/>
          <w:highlight w:val="none"/>
        </w:rPr>
      </w:pPr>
      <w:r>
        <w:rPr>
          <w:rFonts w:hint="eastAsia" w:cs="宋体"/>
          <w:color w:val="auto"/>
          <w:szCs w:val="21"/>
          <w:highlight w:val="none"/>
        </w:rPr>
        <w:t>由磋商小组确认磋商文件。</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2.资格审查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38"/>
          <w:rFonts w:hint="eastAsia" w:ascii="宋体" w:hAnsi="宋体" w:cs="宋体"/>
          <w:color w:val="auto"/>
          <w:highlight w:val="none"/>
          <w:u w:val="none"/>
        </w:rPr>
        <w:t>www.creditchina.gov.cn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38"/>
          <w:rFonts w:hint="eastAsia" w:ascii="宋体" w:hAnsi="宋体" w:cs="宋体"/>
          <w:color w:val="auto"/>
          <w:highlight w:val="none"/>
          <w:u w:val="none"/>
        </w:rPr>
        <w:t>www.ccgp.gov.cn</w:t>
      </w:r>
      <w:r>
        <w:rPr>
          <w:rStyle w:val="38"/>
          <w:rFonts w:hint="eastAsia" w:ascii="宋体" w:hAnsi="宋体" w:cs="宋体"/>
          <w:color w:val="auto"/>
          <w:highlight w:val="none"/>
          <w:u w:val="none"/>
        </w:rPr>
        <w:fldChar w:fldCharType="end"/>
      </w:r>
      <w:r>
        <w:rPr>
          <w:rFonts w:hint="eastAsia" w:ascii="宋体" w:hAnsi="宋体" w:cs="宋体"/>
          <w:color w:val="auto"/>
          <w:szCs w:val="21"/>
          <w:highlight w:val="none"/>
        </w:rPr>
        <w:t>)链接入口。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2.3供应商有下列情形之一的，资格审查不通过，其响应文件按无效响应处理：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ascii="宋体" w:hAnsi="宋体" w:cs="宋体"/>
          <w:color w:val="auto"/>
          <w:szCs w:val="21"/>
          <w:highlight w:val="none"/>
        </w:rPr>
      </w:pPr>
      <w:bookmarkStart w:id="119"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119"/>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1" w:firstLineChars="200"/>
        <w:rPr>
          <w:rFonts w:ascii="黑体" w:hAnsi="黑体" w:eastAsia="黑体" w:cs="宋体"/>
          <w:b/>
          <w:bCs/>
          <w:color w:val="auto"/>
          <w:sz w:val="24"/>
          <w:highlight w:val="none"/>
        </w:rPr>
      </w:pPr>
      <w:r>
        <w:rPr>
          <w:rFonts w:hint="eastAsia" w:ascii="黑体" w:hAnsi="黑体" w:eastAsia="黑体" w:cs="宋体"/>
          <w:b/>
          <w:bCs/>
          <w:color w:val="auto"/>
          <w:sz w:val="24"/>
          <w:highlight w:val="none"/>
        </w:rPr>
        <w:t>3.符合性审查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供应商公章</w:t>
      </w:r>
      <w:r>
        <w:rPr>
          <w:rFonts w:hint="eastAsia" w:ascii="宋体" w:hAnsi="宋体" w:cs="宋体"/>
          <w:color w:val="auto"/>
          <w:spacing w:val="-6"/>
          <w:szCs w:val="21"/>
          <w:highlight w:val="none"/>
        </w:rPr>
        <w:t>。供应商为自然人的，必须由本人签字并附身份证明。</w:t>
      </w:r>
    </w:p>
    <w:p>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（1）响应文件中响应报价表内容与响应文件中相应内容不一致的，以响应报价表为准；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（3）单价金额小数点或者百分比有明显错位的，以响应报价表的总价为准，并修改单价；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3.5商务技术、报价评审</w:t>
      </w:r>
    </w:p>
    <w:p>
      <w:pPr>
        <w:spacing w:line="360" w:lineRule="auto"/>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在评审时，如发现下列情形之一的，将被视为响应文件无效处理：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9）属于“供应商须知正文”第7.5条情形；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14）未响应磋商文件实质性要求；</w:t>
      </w:r>
    </w:p>
    <w:p>
      <w:pPr>
        <w:pStyle w:val="2"/>
        <w:ind w:firstLine="420" w:firstLineChars="200"/>
        <w:rPr>
          <w:rFonts w:ascii="宋体" w:hAnsi="宋体" w:cs="宋体"/>
          <w:color w:val="auto"/>
          <w:highlight w:val="none"/>
        </w:rPr>
      </w:pPr>
      <w:r>
        <w:rPr>
          <w:rFonts w:hint="eastAsia" w:ascii="宋体" w:hAnsi="宋体" w:cs="宋体"/>
          <w:color w:val="auto"/>
          <w:szCs w:val="21"/>
          <w:highlight w:val="none"/>
        </w:rPr>
        <w:t>15）提交的磋商保证金无效的或者未按照磋商文件的规定提交磋商保证金；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16）法律、法规和磋商文件规定的其他无效情形。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项目/分标进行报价或者存在漏项报价；供应商未就所竞标项目/分标的单项内容作唯一报价；供应商未就所竞标项目/分标的全部内容作唯一总价报价；供应商响应文件中存在有选择、有条件报价的（磋商文件允许有备选方案或者其他约定的除外）；</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响应报价（包含首次报价、最后报价）超过所竞标项目/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项目/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6）响应文件响应的标的数量及单位与竞争性磋商文件要求实质性不一致的。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ind w:firstLine="481" w:firstLineChars="200"/>
        <w:rPr>
          <w:rFonts w:ascii="宋体" w:hAnsi="宋体" w:cs="宋体"/>
          <w:b/>
          <w:bCs/>
          <w:color w:val="auto"/>
          <w:sz w:val="24"/>
          <w:highlight w:val="none"/>
        </w:rPr>
      </w:pPr>
      <w:r>
        <w:rPr>
          <w:rFonts w:hint="eastAsia" w:ascii="宋体" w:hAnsi="宋体" w:cs="宋体"/>
          <w:b/>
          <w:bCs/>
          <w:color w:val="auto"/>
          <w:sz w:val="24"/>
          <w:highlight w:val="none"/>
        </w:rPr>
        <w:t>4.磋商程序</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供应商公章。供应商为自然人的，必须由本人签字并附身份证明。参加磋商的供应商未在规定时间内重新提交响应文件的，视同退出磋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4.6磋商小组应对磋商过程和重要磋商内容进行记录，作为评审报告一部分，磋商小组在记录上签字确认。</w:t>
      </w:r>
      <w:r>
        <w:rPr>
          <w:rFonts w:hint="eastAsia" w:ascii="宋体" w:hAnsi="宋体" w:cs="宋体"/>
          <w:b/>
          <w:color w:val="auto"/>
          <w:highlight w:val="none"/>
        </w:rPr>
        <w:t>主要内容包括：</w:t>
      </w:r>
    </w:p>
    <w:p>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pPr>
        <w:pStyle w:val="67"/>
        <w:spacing w:before="0"/>
        <w:ind w:firstLine="396"/>
        <w:rPr>
          <w:rFonts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ind w:firstLine="200"/>
        <w:rPr>
          <w:rFonts w:ascii="宋体" w:hAnsi="宋体" w:cs="宋体"/>
          <w:color w:val="auto"/>
          <w:szCs w:val="21"/>
          <w:highlight w:val="none"/>
        </w:rPr>
      </w:pPr>
      <w:r>
        <w:rPr>
          <w:rFonts w:hint="eastAsia" w:ascii="宋体" w:hAnsi="宋体" w:cs="宋体"/>
          <w:b/>
          <w:bCs/>
          <w:color w:val="auto"/>
          <w:sz w:val="24"/>
          <w:highlight w:val="none"/>
        </w:rPr>
        <w:t>5. 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5.5供应商未在规定时间内提交最后报价的，视同退出磋商，其响应文件按无效处理。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5.6磋商小组收齐本项目/某一分标最后报价后统一开启，磋商小组对最后报价进行有效性、完整性和响应程度的审查。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5.8修正后的最后报价出现下列情形的，按无效响应处理：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（2）经供应商确认修正后的响应报价（包含首次报价、最后报价）超过所竞标项目/分标规定的采购预算金额或者最高限价的（如本项目公布了最高限价）；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pPr>
        <w:pStyle w:val="22"/>
        <w:spacing w:line="360" w:lineRule="auto"/>
        <w:ind w:firstLine="421" w:firstLineChars="200"/>
        <w:rPr>
          <w:color w:val="auto"/>
          <w:highlight w:val="none"/>
        </w:rPr>
      </w:pPr>
      <w:r>
        <w:rPr>
          <w:rFonts w:hint="eastAsia" w:ascii="宋体" w:hAnsi="宋体" w:cs="宋体"/>
          <w:b/>
          <w:bCs/>
          <w:color w:val="auto"/>
          <w:sz w:val="21"/>
          <w:szCs w:val="21"/>
          <w:highlight w:val="none"/>
        </w:rPr>
        <w:t>注：</w:t>
      </w:r>
      <w:r>
        <w:rPr>
          <w:rFonts w:hint="eastAsia"/>
          <w:b/>
          <w:bCs/>
          <w:color w:val="auto"/>
          <w:sz w:val="21"/>
          <w:szCs w:val="21"/>
          <w:highlight w:val="none"/>
        </w:rPr>
        <w:t>如磋商小组要求提供最后报价附件的，需按规定的时间提供。最后报价有时间限制，供应商可参照竞争性磋商文件“第五章 响应文件格式”的最后报价表提前准备，以免耽误最后报价</w:t>
      </w:r>
      <w:r>
        <w:rPr>
          <w:rFonts w:hint="eastAsia" w:ascii="宋体" w:hAnsi="宋体" w:cs="宋体"/>
          <w:b/>
          <w:bCs/>
          <w:color w:val="auto"/>
          <w:sz w:val="21"/>
          <w:szCs w:val="21"/>
          <w:highlight w:val="none"/>
          <w:lang w:val="zh-CN"/>
        </w:rPr>
        <w:t>。</w:t>
      </w:r>
    </w:p>
    <w:p>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6</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比较与评价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6.1评审方法：综合评分法。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pPr>
        <w:pStyle w:val="2"/>
        <w:spacing w:line="360" w:lineRule="auto"/>
        <w:ind w:firstLine="420" w:firstLineChars="200"/>
        <w:rPr>
          <w:rFonts w:ascii="宋体" w:hAnsi="宋体" w:cs="宋体"/>
          <w:color w:val="auto"/>
          <w:highlight w:val="none"/>
        </w:rPr>
      </w:pPr>
      <w:r>
        <w:rPr>
          <w:rFonts w:hint="eastAsia" w:ascii="宋体" w:hAnsi="宋体" w:cs="宋体"/>
          <w:color w:val="auto"/>
          <w:highlight w:val="none"/>
        </w:rPr>
        <w:t>（1）磋商小组成员要根据政府采购法律法规和采购文件所载明的评审方法、标准进行评审。对供应商的价格分等客观评分项的评分应当一致，对其他需要借助专业知识评判的主观评分项，应当严格按照评分细则公正评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pPr>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（3）各供应商的得分为磋商小组所有成员的有效评分的算术平均数。</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6.4评审</w:t>
      </w:r>
      <w:r>
        <w:rPr>
          <w:rFonts w:hint="eastAsia" w:ascii="宋体" w:hAnsi="宋体" w:cs="宋体"/>
          <w:color w:val="auto"/>
          <w:highlight w:val="none"/>
        </w:rPr>
        <w:t>报价</w:t>
      </w:r>
      <w:r>
        <w:rPr>
          <w:rFonts w:hint="eastAsia" w:ascii="宋体" w:hAnsi="宋体" w:cs="宋体"/>
          <w:color w:val="auto"/>
          <w:szCs w:val="21"/>
          <w:highlight w:val="none"/>
        </w:rPr>
        <w:t>为供应商的最后报价进行政策性扣除后的价格，评审</w:t>
      </w:r>
      <w:r>
        <w:rPr>
          <w:rFonts w:hint="eastAsia" w:ascii="宋体" w:hAnsi="宋体" w:cs="宋体"/>
          <w:color w:val="auto"/>
          <w:highlight w:val="none"/>
        </w:rPr>
        <w:t>报价</w:t>
      </w:r>
      <w:r>
        <w:rPr>
          <w:rFonts w:hint="eastAsia" w:ascii="宋体" w:hAnsi="宋体" w:cs="宋体"/>
          <w:color w:val="auto"/>
          <w:szCs w:val="21"/>
          <w:highlight w:val="none"/>
        </w:rPr>
        <w:t>只是作为评审时使用。最终成交供应商的成交金额等于最后报价（如有修正，以确认修正后的最后报价为准）。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审报告。符合本章第5.3条情形的，可以推荐2家成交候选供应商。评审得分相同的，</w:t>
      </w:r>
      <w:r>
        <w:rPr>
          <w:rFonts w:hint="eastAsia" w:ascii="宋体" w:hAnsi="宋体" w:cs="宋体"/>
          <w:bCs/>
          <w:color w:val="auto"/>
          <w:szCs w:val="21"/>
          <w:highlight w:val="none"/>
        </w:rPr>
        <w:t>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ind w:firstLine="200"/>
        <w:rPr>
          <w:rFonts w:ascii="黑体" w:hAnsi="黑体" w:eastAsia="黑体" w:cs="宋体"/>
          <w:b/>
          <w:bCs/>
          <w:color w:val="auto"/>
          <w:sz w:val="24"/>
          <w:highlight w:val="none"/>
        </w:rPr>
      </w:pPr>
      <w:r>
        <w:rPr>
          <w:rFonts w:hint="eastAsia" w:ascii="黑体" w:hAnsi="黑体" w:eastAsia="黑体" w:cs="宋体"/>
          <w:b/>
          <w:bCs/>
          <w:color w:val="auto"/>
          <w:sz w:val="24"/>
          <w:highlight w:val="none"/>
        </w:rPr>
        <w:t>7</w:t>
      </w:r>
      <w:r>
        <w:rPr>
          <w:rFonts w:ascii="黑体" w:hAnsi="黑体" w:eastAsia="黑体" w:cs="宋体"/>
          <w:b/>
          <w:bCs/>
          <w:color w:val="auto"/>
          <w:sz w:val="24"/>
          <w:highlight w:val="none"/>
        </w:rPr>
        <w:t>.</w:t>
      </w:r>
      <w:r>
        <w:rPr>
          <w:rFonts w:hint="eastAsia" w:ascii="黑体" w:hAnsi="黑体" w:eastAsia="黑体" w:cs="宋体"/>
          <w:b/>
          <w:bCs/>
          <w:color w:val="auto"/>
          <w:sz w:val="24"/>
          <w:highlight w:val="none"/>
        </w:rPr>
        <w:t>评审标准</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7.1评审依据：磋商小组将以响应文件为评审依据，对供应商的报价、技术、商务等方面内容按百分制打分，总得分=报价分+技术分+商务分。（计分方法按四舍五入取至百分位）</w:t>
      </w:r>
    </w:p>
    <w:tbl>
      <w:tblPr>
        <w:tblStyle w:val="31"/>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59"/>
        <w:gridCol w:w="7419"/>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ascii="宋体" w:hAnsi="宋体" w:cs="宋体"/>
                <w:color w:val="auto"/>
                <w:highlight w:val="none"/>
              </w:rPr>
            </w:pPr>
            <w:bookmarkStart w:id="120" w:name="_Toc80205935"/>
            <w:r>
              <w:rPr>
                <w:rFonts w:hint="eastAsia" w:ascii="宋体" w:hAnsi="宋体" w:cs="宋体"/>
                <w:color w:val="auto"/>
                <w:highlight w:val="none"/>
              </w:rPr>
              <w:t>序号</w:t>
            </w:r>
          </w:p>
        </w:tc>
        <w:tc>
          <w:tcPr>
            <w:tcW w:w="959" w:type="dxa"/>
            <w:vAlign w:val="center"/>
          </w:tcPr>
          <w:p>
            <w:pPr>
              <w:jc w:val="center"/>
              <w:rPr>
                <w:rFonts w:ascii="宋体" w:hAnsi="宋体" w:cs="宋体"/>
                <w:color w:val="auto"/>
                <w:highlight w:val="none"/>
              </w:rPr>
            </w:pPr>
            <w:r>
              <w:rPr>
                <w:rFonts w:hint="eastAsia" w:ascii="宋体" w:hAnsi="宋体" w:cs="宋体"/>
                <w:color w:val="auto"/>
                <w:highlight w:val="none"/>
              </w:rPr>
              <w:t>评分类型</w:t>
            </w:r>
          </w:p>
        </w:tc>
        <w:tc>
          <w:tcPr>
            <w:tcW w:w="7419" w:type="dxa"/>
            <w:vAlign w:val="center"/>
          </w:tcPr>
          <w:p>
            <w:pPr>
              <w:jc w:val="center"/>
              <w:rPr>
                <w:rFonts w:ascii="宋体" w:hAnsi="宋体" w:cs="宋体"/>
                <w:color w:val="auto"/>
                <w:highlight w:val="none"/>
              </w:rPr>
            </w:pPr>
            <w:r>
              <w:rPr>
                <w:rFonts w:hint="eastAsia" w:ascii="宋体" w:hAnsi="宋体" w:cs="宋体"/>
                <w:color w:val="auto"/>
                <w:highlight w:val="none"/>
              </w:rPr>
              <w:t>评分标准</w:t>
            </w:r>
          </w:p>
        </w:tc>
        <w:tc>
          <w:tcPr>
            <w:tcW w:w="934" w:type="dxa"/>
            <w:vAlign w:val="center"/>
          </w:tcPr>
          <w:p>
            <w:pPr>
              <w:jc w:val="center"/>
              <w:rPr>
                <w:rFonts w:ascii="宋体" w:hAnsi="宋体" w:cs="宋体"/>
                <w:color w:val="auto"/>
                <w:highlight w:val="none"/>
              </w:rPr>
            </w:pPr>
            <w:r>
              <w:rPr>
                <w:rFonts w:hint="eastAsia" w:ascii="宋体" w:hAnsi="宋体" w:cs="宋体"/>
                <w:color w:val="auto"/>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1</w:t>
            </w:r>
          </w:p>
        </w:tc>
        <w:tc>
          <w:tcPr>
            <w:tcW w:w="959" w:type="dxa"/>
            <w:vAlign w:val="center"/>
          </w:tcPr>
          <w:p>
            <w:pPr>
              <w:jc w:val="center"/>
              <w:rPr>
                <w:rFonts w:hint="eastAsia" w:ascii="宋体" w:hAnsi="宋体" w:eastAsia="宋体" w:cs="宋体"/>
                <w:color w:val="auto"/>
                <w:highlight w:val="none"/>
                <w:lang w:val="en-US" w:eastAsia="zh-CN"/>
              </w:rPr>
            </w:pPr>
            <w:r>
              <w:rPr>
                <w:rFonts w:hint="eastAsia" w:ascii="宋体" w:hAnsi="宋体" w:cs="宋体"/>
                <w:color w:val="auto"/>
                <w:highlight w:val="none"/>
              </w:rPr>
              <w:t>报价</w:t>
            </w:r>
          </w:p>
        </w:tc>
        <w:tc>
          <w:tcPr>
            <w:tcW w:w="7419" w:type="dxa"/>
            <w:vAlign w:val="center"/>
          </w:tcPr>
          <w:p>
            <w:pPr>
              <w:jc w:val="left"/>
              <w:rPr>
                <w:rFonts w:ascii="宋体" w:hAnsi="宋体" w:cs="宋体"/>
                <w:color w:val="auto"/>
                <w:highlight w:val="none"/>
              </w:rPr>
            </w:pPr>
            <w:r>
              <w:rPr>
                <w:rFonts w:hint="eastAsia" w:ascii="宋体" w:hAnsi="宋体" w:cs="宋体"/>
                <w:color w:val="auto"/>
                <w:highlight w:val="none"/>
              </w:rPr>
              <w:t>1.本项目为专门面向中小企业采购的项目，按照《政府采购促进中小企业发展管理办法》（财库〔2020〕46号）的规定，对供应商最后报价不再执行价格评审优惠的扶持政策。</w:t>
            </w:r>
          </w:p>
          <w:p>
            <w:pPr>
              <w:jc w:val="left"/>
              <w:rPr>
                <w:rFonts w:ascii="宋体" w:hAnsi="宋体" w:cs="宋体"/>
                <w:color w:val="auto"/>
                <w:highlight w:val="none"/>
              </w:rPr>
            </w:pPr>
            <w:r>
              <w:rPr>
                <w:rFonts w:hint="eastAsia" w:ascii="宋体" w:hAnsi="宋体" w:cs="宋体"/>
                <w:color w:val="auto"/>
                <w:highlight w:val="none"/>
              </w:rPr>
              <w:t>2.评审报价为供应商的最后报价，评审报价只是作为评审时使用。最终成交供应商的成交金额等于最后报价（如有修正，以确认修正后的最后报价为准）。</w:t>
            </w:r>
          </w:p>
          <w:p>
            <w:pPr>
              <w:jc w:val="left"/>
              <w:rPr>
                <w:rFonts w:ascii="宋体" w:hAnsi="宋体" w:cs="宋体"/>
                <w:color w:val="auto"/>
                <w:highlight w:val="none"/>
              </w:rPr>
            </w:pPr>
            <w:r>
              <w:rPr>
                <w:rFonts w:hint="eastAsia" w:ascii="宋体" w:hAnsi="宋体" w:cs="宋体"/>
                <w:color w:val="auto"/>
                <w:highlight w:val="none"/>
              </w:rPr>
              <w:t>3.以进入比较与评价环节的最低的评审报价为基准价，基准价得分为</w:t>
            </w:r>
            <w:r>
              <w:rPr>
                <w:rFonts w:hint="eastAsia" w:ascii="宋体" w:hAnsi="宋体" w:cs="宋体"/>
                <w:color w:val="auto"/>
                <w:highlight w:val="none"/>
                <w:lang w:val="en-US" w:eastAsia="zh-CN"/>
              </w:rPr>
              <w:t>1</w:t>
            </w:r>
            <w:r>
              <w:rPr>
                <w:rFonts w:hint="eastAsia" w:ascii="宋体" w:hAnsi="宋体" w:cs="宋体"/>
                <w:color w:val="auto"/>
                <w:highlight w:val="none"/>
              </w:rPr>
              <w:t>0分。</w:t>
            </w:r>
          </w:p>
          <w:p>
            <w:pPr>
              <w:jc w:val="left"/>
              <w:rPr>
                <w:rFonts w:ascii="宋体" w:hAnsi="宋体" w:cs="宋体"/>
                <w:color w:val="auto"/>
                <w:highlight w:val="none"/>
              </w:rPr>
            </w:pPr>
            <w:r>
              <w:rPr>
                <w:rFonts w:hint="eastAsia" w:ascii="宋体" w:hAnsi="宋体" w:cs="宋体"/>
                <w:color w:val="auto"/>
                <w:highlight w:val="none"/>
              </w:rPr>
              <w:t>4.价格分计算公式：</w:t>
            </w:r>
          </w:p>
          <w:p>
            <w:pPr>
              <w:jc w:val="left"/>
              <w:rPr>
                <w:rFonts w:ascii="宋体" w:hAnsi="宋体" w:cs="宋体"/>
                <w:color w:val="auto"/>
                <w:highlight w:val="none"/>
              </w:rPr>
            </w:pPr>
            <w:r>
              <w:rPr>
                <w:rFonts w:hint="eastAsia" w:ascii="宋体" w:hAnsi="宋体" w:cs="宋体"/>
                <w:color w:val="auto"/>
                <w:highlight w:val="none"/>
              </w:rPr>
              <w:t>报价得分=（基准价/评审报价）×</w:t>
            </w:r>
            <w:r>
              <w:rPr>
                <w:rFonts w:hint="eastAsia" w:ascii="宋体" w:hAnsi="宋体" w:cs="宋体"/>
                <w:color w:val="auto"/>
                <w:highlight w:val="none"/>
                <w:lang w:val="en-US" w:eastAsia="zh-CN"/>
              </w:rPr>
              <w:t>1</w:t>
            </w:r>
            <w:r>
              <w:rPr>
                <w:rFonts w:hint="eastAsia" w:ascii="宋体" w:hAnsi="宋体" w:cs="宋体"/>
                <w:color w:val="auto"/>
                <w:highlight w:val="none"/>
              </w:rPr>
              <w:t>0分</w:t>
            </w:r>
          </w:p>
        </w:tc>
        <w:tc>
          <w:tcPr>
            <w:tcW w:w="934" w:type="dxa"/>
            <w:vAlign w:val="center"/>
          </w:tcPr>
          <w:p>
            <w:pPr>
              <w:jc w:val="center"/>
              <w:rPr>
                <w:rFonts w:ascii="宋体" w:hAnsi="宋体" w:cs="宋体"/>
                <w:color w:val="auto"/>
                <w:highlight w:val="none"/>
              </w:rPr>
            </w:pPr>
            <w:r>
              <w:rPr>
                <w:rFonts w:hint="eastAsia" w:ascii="宋体" w:hAnsi="宋体" w:cs="宋体"/>
                <w:color w:val="auto"/>
                <w:highlight w:val="none"/>
                <w:lang w:val="en-US" w:eastAsia="zh-CN"/>
              </w:rPr>
              <w:t>1</w:t>
            </w:r>
            <w:r>
              <w:rPr>
                <w:rFonts w:hint="eastAsia" w:ascii="宋体" w:hAnsi="宋体" w:cs="宋体"/>
                <w:color w:val="auto"/>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2</w:t>
            </w:r>
          </w:p>
        </w:tc>
        <w:tc>
          <w:tcPr>
            <w:tcW w:w="959"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技术</w:t>
            </w:r>
          </w:p>
          <w:p>
            <w:pPr>
              <w:jc w:val="center"/>
              <w:rPr>
                <w:rFonts w:ascii="宋体" w:hAnsi="宋体" w:cs="宋体"/>
                <w:color w:val="auto"/>
                <w:highlight w:val="none"/>
              </w:rPr>
            </w:pPr>
          </w:p>
        </w:tc>
        <w:tc>
          <w:tcPr>
            <w:tcW w:w="7419" w:type="dxa"/>
            <w:vAlign w:val="center"/>
          </w:tcPr>
          <w:p>
            <w:pPr>
              <w:ind w:firstLine="421" w:firstLineChars="200"/>
              <w:jc w:val="left"/>
              <w:rPr>
                <w:rFonts w:hint="default" w:hAnsi="宋体" w:eastAsia="宋体"/>
                <w:b/>
                <w:bCs/>
                <w:color w:val="auto"/>
                <w:sz w:val="21"/>
                <w:highlight w:val="none"/>
                <w:lang w:val="en-US" w:eastAsia="zh-CN"/>
              </w:rPr>
            </w:pPr>
            <w:r>
              <w:rPr>
                <w:rFonts w:hint="eastAsia" w:hAnsi="宋体"/>
                <w:b/>
                <w:bCs/>
                <w:color w:val="auto"/>
                <w:sz w:val="21"/>
                <w:highlight w:val="none"/>
                <w:lang w:val="en-US" w:eastAsia="zh-CN"/>
              </w:rPr>
              <w:t>技术要求响应</w:t>
            </w:r>
          </w:p>
          <w:p>
            <w:pPr>
              <w:ind w:firstLine="420" w:firstLineChars="200"/>
              <w:jc w:val="left"/>
              <w:rPr>
                <w:color w:val="auto"/>
                <w:highlight w:val="none"/>
              </w:rPr>
            </w:pPr>
            <w:r>
              <w:rPr>
                <w:rFonts w:hint="eastAsia" w:hAnsi="宋体"/>
                <w:color w:val="auto"/>
                <w:sz w:val="21"/>
                <w:highlight w:val="none"/>
              </w:rPr>
              <w:t>技术</w:t>
            </w:r>
            <w:r>
              <w:rPr>
                <w:rFonts w:hint="eastAsia" w:hAnsi="宋体"/>
                <w:color w:val="auto"/>
                <w:sz w:val="21"/>
                <w:highlight w:val="none"/>
                <w:lang w:val="en-US" w:eastAsia="zh-CN"/>
              </w:rPr>
              <w:t>要求</w:t>
            </w:r>
            <w:r>
              <w:rPr>
                <w:rFonts w:hint="eastAsia" w:hAnsi="宋体"/>
                <w:color w:val="auto"/>
                <w:sz w:val="21"/>
                <w:highlight w:val="none"/>
              </w:rPr>
              <w:t>能完全满足磋商文件要求</w:t>
            </w:r>
            <w:r>
              <w:rPr>
                <w:rFonts w:hint="eastAsia" w:hAnsi="宋体"/>
                <w:color w:val="auto"/>
                <w:sz w:val="21"/>
                <w:highlight w:val="none"/>
                <w:lang w:eastAsia="zh-CN"/>
              </w:rPr>
              <w:t>（</w:t>
            </w:r>
            <w:r>
              <w:rPr>
                <w:rFonts w:hint="eastAsia" w:hAnsi="宋体"/>
                <w:color w:val="auto"/>
                <w:sz w:val="21"/>
                <w:highlight w:val="none"/>
                <w:lang w:val="en-US" w:eastAsia="zh-CN"/>
              </w:rPr>
              <w:t>共6点</w:t>
            </w:r>
            <w:r>
              <w:rPr>
                <w:rFonts w:hint="eastAsia" w:hAnsi="宋体"/>
                <w:color w:val="auto"/>
                <w:sz w:val="21"/>
                <w:highlight w:val="none"/>
                <w:lang w:eastAsia="zh-CN"/>
              </w:rPr>
              <w:t>）</w:t>
            </w:r>
            <w:r>
              <w:rPr>
                <w:rFonts w:hint="eastAsia" w:hAnsi="宋体"/>
                <w:color w:val="auto"/>
                <w:sz w:val="21"/>
                <w:highlight w:val="none"/>
              </w:rPr>
              <w:t>没有负偏离的得</w:t>
            </w:r>
            <w:r>
              <w:rPr>
                <w:rFonts w:hint="eastAsia" w:hAnsi="宋体"/>
                <w:color w:val="auto"/>
                <w:sz w:val="21"/>
                <w:highlight w:val="none"/>
                <w:lang w:val="en-US" w:eastAsia="zh-CN"/>
              </w:rPr>
              <w:t>12</w:t>
            </w:r>
            <w:r>
              <w:rPr>
                <w:rFonts w:hint="eastAsia" w:hAnsi="宋体"/>
                <w:color w:val="auto"/>
                <w:sz w:val="21"/>
                <w:highlight w:val="none"/>
              </w:rPr>
              <w:t>分。</w:t>
            </w:r>
            <w:r>
              <w:rPr>
                <w:rFonts w:hint="eastAsia" w:hAnsi="宋体"/>
                <w:color w:val="auto"/>
                <w:sz w:val="21"/>
                <w:highlight w:val="none"/>
                <w:lang w:val="en-US" w:eastAsia="zh-CN"/>
              </w:rPr>
              <w:t>每</w:t>
            </w:r>
            <w:r>
              <w:rPr>
                <w:rFonts w:hint="eastAsia" w:hAnsi="宋体"/>
                <w:color w:val="auto"/>
                <w:sz w:val="21"/>
                <w:highlight w:val="none"/>
              </w:rPr>
              <w:t>偏离</w:t>
            </w:r>
            <w:r>
              <w:rPr>
                <w:rFonts w:hint="eastAsia" w:hAnsi="宋体"/>
                <w:color w:val="auto"/>
                <w:sz w:val="21"/>
                <w:highlight w:val="none"/>
                <w:lang w:val="en-US" w:eastAsia="zh-CN"/>
              </w:rPr>
              <w:t>1</w:t>
            </w:r>
            <w:r>
              <w:rPr>
                <w:rFonts w:hint="eastAsia" w:hAnsi="宋体"/>
                <w:color w:val="auto"/>
                <w:sz w:val="21"/>
                <w:highlight w:val="none"/>
              </w:rPr>
              <w:t>项</w:t>
            </w:r>
            <w:r>
              <w:rPr>
                <w:rFonts w:hint="eastAsia" w:hAnsi="宋体"/>
                <w:color w:val="auto"/>
                <w:sz w:val="21"/>
                <w:highlight w:val="none"/>
                <w:lang w:val="en-US" w:eastAsia="zh-CN"/>
              </w:rPr>
              <w:t>扣2</w:t>
            </w:r>
            <w:r>
              <w:rPr>
                <w:rFonts w:hint="eastAsia" w:hAnsi="宋体"/>
                <w:color w:val="auto"/>
                <w:sz w:val="21"/>
                <w:highlight w:val="none"/>
              </w:rPr>
              <w:t>分。</w:t>
            </w: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c>
          <w:tcPr>
            <w:tcW w:w="959" w:type="dxa"/>
            <w:vMerge w:val="continue"/>
            <w:vAlign w:val="center"/>
          </w:tcPr>
          <w:p>
            <w:pPr>
              <w:jc w:val="center"/>
              <w:rPr>
                <w:rFonts w:ascii="宋体" w:hAnsi="宋体" w:cs="宋体"/>
                <w:color w:val="auto"/>
                <w:highlight w:val="none"/>
              </w:rPr>
            </w:pPr>
          </w:p>
        </w:tc>
        <w:tc>
          <w:tcPr>
            <w:tcW w:w="7419" w:type="dxa"/>
            <w:vAlign w:val="center"/>
          </w:tcPr>
          <w:p>
            <w:pPr>
              <w:spacing w:line="400" w:lineRule="exact"/>
              <w:ind w:firstLine="421" w:firstLineChars="200"/>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rPr>
              <w:t>总体</w:t>
            </w:r>
            <w:r>
              <w:rPr>
                <w:rFonts w:hint="eastAsia" w:ascii="宋体" w:hAnsi="宋体" w:cs="宋体"/>
                <w:b/>
                <w:bCs w:val="0"/>
                <w:color w:val="auto"/>
                <w:szCs w:val="21"/>
                <w:highlight w:val="none"/>
                <w:lang w:val="en-US" w:eastAsia="zh-CN"/>
              </w:rPr>
              <w:t>服务</w:t>
            </w:r>
            <w:r>
              <w:rPr>
                <w:rFonts w:hint="eastAsia" w:ascii="宋体" w:hAnsi="宋体" w:eastAsia="宋体" w:cs="宋体"/>
                <w:b/>
                <w:bCs w:val="0"/>
                <w:color w:val="auto"/>
                <w:szCs w:val="21"/>
                <w:highlight w:val="none"/>
              </w:rPr>
              <w:t>方案</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根据本项目制定符合项目实际情况的服务总体方案，包括但不限于对项目的理解和现状分析、对项目研究内容和技术线路分析、项目特征、项目难点与策略分析、项目管理办法及管护制度、拟投入的专业技术人员及设备、项目工作进度安排及保障措施、技术质量保障及措施、售后服务方案、技术培训服务方案、履约能力、应急保证预案及措施、成果及档案管理方案措施等内容的完整性、科学性、合理性、</w:t>
            </w:r>
            <w:r>
              <w:rPr>
                <w:rFonts w:hint="eastAsia" w:ascii="宋体" w:hAnsi="宋体" w:cs="宋体"/>
                <w:bCs/>
                <w:color w:val="auto"/>
                <w:szCs w:val="21"/>
                <w:highlight w:val="none"/>
                <w:lang w:eastAsia="zh-CN"/>
              </w:rPr>
              <w:t>可行性</w:t>
            </w:r>
            <w:r>
              <w:rPr>
                <w:rFonts w:hint="eastAsia" w:ascii="宋体" w:hAnsi="宋体" w:eastAsia="宋体" w:cs="宋体"/>
                <w:bCs/>
                <w:color w:val="auto"/>
                <w:szCs w:val="21"/>
                <w:highlight w:val="none"/>
              </w:rPr>
              <w:t>。</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由评委在打分前根据本项目磋商采购文件的要求及供应商提供的项目服务总体方案的内容独立确定各供应商所属的档次并确定相应分值。</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一档（8分）：提供的项目服务总体方案内容简单，没有切实可行实施办法及措施，</w:t>
            </w:r>
            <w:r>
              <w:rPr>
                <w:rFonts w:hint="eastAsia" w:ascii="宋体" w:hAnsi="宋体" w:cs="宋体"/>
                <w:color w:val="auto"/>
                <w:szCs w:val="21"/>
                <w:highlight w:val="none"/>
              </w:rPr>
              <w:t>不能完全满足采购服务要求</w:t>
            </w:r>
            <w:r>
              <w:rPr>
                <w:rFonts w:hint="eastAsia" w:ascii="宋体" w:hAnsi="宋体" w:eastAsia="宋体" w:cs="宋体"/>
                <w:bCs/>
                <w:color w:val="auto"/>
                <w:szCs w:val="21"/>
                <w:highlight w:val="none"/>
              </w:rPr>
              <w:t>，整体方案缺乏可行性及针对性。</w:t>
            </w:r>
          </w:p>
          <w:p>
            <w:pPr>
              <w:spacing w:line="400" w:lineRule="exact"/>
              <w:ind w:firstLine="420" w:firstLineChars="200"/>
              <w:rPr>
                <w:rFonts w:ascii="宋体" w:hAnsi="宋体" w:eastAsia="宋体" w:cs="宋体"/>
                <w:bCs/>
                <w:color w:val="auto"/>
                <w:szCs w:val="21"/>
                <w:highlight w:val="none"/>
              </w:rPr>
            </w:pPr>
            <w:r>
              <w:rPr>
                <w:rFonts w:hint="eastAsia" w:ascii="宋体" w:hAnsi="宋体" w:eastAsia="宋体" w:cs="宋体"/>
                <w:bCs/>
                <w:color w:val="auto"/>
                <w:szCs w:val="21"/>
                <w:highlight w:val="none"/>
              </w:rPr>
              <w:t>二档（16分）：能理解和把握项目的总体要求及服务内容，提供的项目服务总体方案内容基本详细，整体构思良好；</w:t>
            </w:r>
            <w:r>
              <w:rPr>
                <w:rFonts w:hint="eastAsia" w:ascii="宋体" w:hAnsi="宋体" w:cs="宋体"/>
                <w:color w:val="auto"/>
                <w:szCs w:val="21"/>
                <w:highlight w:val="none"/>
              </w:rPr>
              <w:t>技术响应内容完全满足采购服务要求</w:t>
            </w:r>
            <w:r>
              <w:rPr>
                <w:rFonts w:hint="eastAsia" w:ascii="宋体" w:hAnsi="宋体" w:eastAsia="宋体" w:cs="宋体"/>
                <w:bCs/>
                <w:color w:val="auto"/>
                <w:szCs w:val="21"/>
                <w:highlight w:val="none"/>
              </w:rPr>
              <w:t>。</w:t>
            </w:r>
          </w:p>
          <w:p>
            <w:pPr>
              <w:spacing w:line="400" w:lineRule="exact"/>
              <w:ind w:firstLine="420" w:firstLineChars="200"/>
              <w:rPr>
                <w:rFonts w:ascii="宋体" w:hAnsi="宋体" w:cs="宋体"/>
                <w:color w:val="auto"/>
                <w:szCs w:val="21"/>
                <w:highlight w:val="none"/>
              </w:rPr>
            </w:pPr>
            <w:r>
              <w:rPr>
                <w:rFonts w:hint="eastAsia" w:ascii="宋体" w:hAnsi="宋体" w:eastAsia="宋体" w:cs="宋体"/>
                <w:bCs/>
                <w:color w:val="auto"/>
                <w:szCs w:val="21"/>
                <w:highlight w:val="none"/>
              </w:rPr>
              <w:t>三档（25分）：能够准确理解和把握项目的总体要求及服务内容，提供的项目服务总体方案内容清晰完整，整体构思完整合理，服务方案较全面具体、清晰完整，</w:t>
            </w:r>
            <w:r>
              <w:rPr>
                <w:rFonts w:hint="eastAsia" w:ascii="宋体" w:hAnsi="宋体" w:cs="宋体"/>
                <w:color w:val="auto"/>
                <w:szCs w:val="21"/>
                <w:highlight w:val="none"/>
              </w:rPr>
              <w:t>符合项目实施的特点，服务措施到位、方案可行。</w:t>
            </w:r>
          </w:p>
          <w:p>
            <w:pPr>
              <w:pStyle w:val="22"/>
              <w:ind w:firstLine="420" w:firstLineChars="200"/>
              <w:rPr>
                <w:rFonts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注：不提供技术服务方案或不满足一档要求的不得分。</w:t>
            </w:r>
          </w:p>
          <w:p>
            <w:pPr>
              <w:jc w:val="left"/>
              <w:rPr>
                <w:rFonts w:ascii="宋体" w:hAnsi="宋体" w:cs="宋体"/>
                <w:color w:val="auto"/>
                <w:highlight w:val="none"/>
              </w:rPr>
            </w:pPr>
            <w:r>
              <w:rPr>
                <w:rFonts w:hint="eastAsia" w:ascii="宋体" w:hAnsi="宋体" w:cs="宋体"/>
                <w:color w:val="auto"/>
                <w:highlight w:val="none"/>
              </w:rPr>
              <w:t>。</w:t>
            </w: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4</w:t>
            </w:r>
          </w:p>
        </w:tc>
        <w:tc>
          <w:tcPr>
            <w:tcW w:w="959" w:type="dxa"/>
            <w:vMerge w:val="continue"/>
            <w:vAlign w:val="center"/>
          </w:tcPr>
          <w:p>
            <w:pPr>
              <w:jc w:val="center"/>
              <w:rPr>
                <w:rFonts w:ascii="宋体" w:hAnsi="宋体" w:cs="宋体"/>
                <w:color w:val="auto"/>
                <w:highlight w:val="none"/>
              </w:rPr>
            </w:pPr>
          </w:p>
        </w:tc>
        <w:tc>
          <w:tcPr>
            <w:tcW w:w="7419" w:type="dxa"/>
            <w:vAlign w:val="center"/>
          </w:tcPr>
          <w:p>
            <w:pPr>
              <w:spacing w:line="400" w:lineRule="exact"/>
              <w:ind w:firstLine="425" w:firstLineChars="202"/>
              <w:jc w:val="left"/>
              <w:rPr>
                <w:rFonts w:hint="eastAsia"/>
                <w:b/>
                <w:color w:val="auto"/>
                <w:highlight w:val="none"/>
              </w:rPr>
            </w:pPr>
            <w:r>
              <w:rPr>
                <w:rFonts w:hint="eastAsia"/>
                <w:b/>
                <w:color w:val="auto"/>
                <w:highlight w:val="none"/>
              </w:rPr>
              <w:t>组织管理方案</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组织管理方案应包括单位内部岗位责任制度、管理制度及标准。由评审专家及采购人代表根据供应商响应情况进行独立打分。</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一档（8分）：组织管理方案简单，单位内部岗位责任制度、管理制度及标准简单，基本能保障项目实现；</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二档（16分）：组织管理方案合理、可行，单位内部岗位责任制度、管理制度及标准内容较完整，能保障项目实现；</w:t>
            </w:r>
          </w:p>
          <w:p>
            <w:pPr>
              <w:spacing w:line="400" w:lineRule="exact"/>
              <w:ind w:firstLine="424" w:firstLineChars="202"/>
              <w:jc w:val="left"/>
              <w:rPr>
                <w:rFonts w:ascii="宋体" w:hAnsi="宋体" w:eastAsia="宋体" w:cs="宋体"/>
                <w:color w:val="auto"/>
                <w:szCs w:val="21"/>
                <w:highlight w:val="none"/>
              </w:rPr>
            </w:pPr>
            <w:r>
              <w:rPr>
                <w:rFonts w:hint="eastAsia" w:ascii="宋体" w:hAnsi="宋体" w:eastAsia="宋体" w:cs="宋体"/>
                <w:color w:val="auto"/>
                <w:szCs w:val="21"/>
                <w:highlight w:val="none"/>
              </w:rPr>
              <w:t>三档（25分）：组织管理方案内容完整、齐全，单位内部岗位责任制度、管理制度及标准详尽可行，有具体措施能完全保障项目实现。</w:t>
            </w:r>
          </w:p>
          <w:p>
            <w:pPr>
              <w:spacing w:line="400" w:lineRule="exact"/>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注：不提供组织管理方案或组织管理方案不满足一档要求的不得分。</w:t>
            </w:r>
          </w:p>
          <w:p>
            <w:pPr>
              <w:jc w:val="left"/>
              <w:rPr>
                <w:rFonts w:ascii="宋体" w:hAnsi="宋体" w:cs="宋体"/>
                <w:color w:val="auto"/>
                <w:highlight w:val="none"/>
              </w:rPr>
            </w:pP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542"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5</w:t>
            </w:r>
          </w:p>
        </w:tc>
        <w:tc>
          <w:tcPr>
            <w:tcW w:w="959" w:type="dxa"/>
            <w:vMerge w:val="restart"/>
            <w:vAlign w:val="center"/>
          </w:tcPr>
          <w:p>
            <w:pPr>
              <w:jc w:val="center"/>
              <w:rPr>
                <w:rFonts w:hint="eastAsia" w:ascii="宋体" w:hAnsi="宋体" w:cs="宋体"/>
                <w:color w:val="auto"/>
                <w:highlight w:val="none"/>
              </w:rPr>
            </w:pPr>
            <w:r>
              <w:rPr>
                <w:rFonts w:hint="eastAsia" w:ascii="宋体" w:hAnsi="宋体" w:cs="宋体"/>
                <w:color w:val="auto"/>
                <w:highlight w:val="none"/>
              </w:rPr>
              <w:t>商务</w:t>
            </w:r>
          </w:p>
          <w:p>
            <w:pPr>
              <w:jc w:val="center"/>
              <w:rPr>
                <w:rFonts w:ascii="宋体" w:hAnsi="宋体" w:cs="宋体"/>
                <w:color w:val="auto"/>
                <w:highlight w:val="none"/>
              </w:rPr>
            </w:pPr>
          </w:p>
        </w:tc>
        <w:tc>
          <w:tcPr>
            <w:tcW w:w="7419" w:type="dxa"/>
            <w:vAlign w:val="center"/>
          </w:tcPr>
          <w:p>
            <w:pPr>
              <w:ind w:firstLine="421" w:firstLineChars="200"/>
              <w:jc w:val="left"/>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投标人管理体系认证</w:t>
            </w:r>
          </w:p>
          <w:p>
            <w:pPr>
              <w:ind w:firstLine="420" w:firstLineChars="200"/>
              <w:jc w:val="left"/>
              <w:rPr>
                <w:rFonts w:ascii="宋体" w:hAnsi="宋体" w:cs="宋体"/>
                <w:color w:val="auto"/>
                <w:highlight w:val="none"/>
              </w:rPr>
            </w:pPr>
            <w:r>
              <w:rPr>
                <w:rFonts w:hint="eastAsia" w:ascii="宋体" w:hAnsi="宋体" w:cs="宋体"/>
                <w:color w:val="auto"/>
                <w:szCs w:val="21"/>
                <w:highlight w:val="none"/>
              </w:rPr>
              <w:t>投标人具备国家认证认可监督管理委员会认定机构认证的ISO9001质量管理体系认证得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分、ISO45001职业健康安全管理体系认证</w:t>
            </w:r>
            <w:bookmarkStart w:id="121" w:name="_Hlk185860918"/>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bookmarkEnd w:id="121"/>
            <w:r>
              <w:rPr>
                <w:rFonts w:hint="eastAsia" w:ascii="宋体" w:hAnsi="宋体" w:cs="宋体"/>
                <w:color w:val="auto"/>
                <w:szCs w:val="21"/>
                <w:highlight w:val="none"/>
              </w:rPr>
              <w:t>、ISO14001环境管理体系认证证书得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分，满分</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分。（提供相应的证书复印件，不提供不得分）</w:t>
            </w:r>
          </w:p>
        </w:tc>
        <w:tc>
          <w:tcPr>
            <w:tcW w:w="934"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6</w:t>
            </w:r>
          </w:p>
        </w:tc>
        <w:tc>
          <w:tcPr>
            <w:tcW w:w="959" w:type="dxa"/>
            <w:vMerge w:val="continue"/>
            <w:vAlign w:val="center"/>
          </w:tcPr>
          <w:p>
            <w:pPr>
              <w:jc w:val="center"/>
              <w:rPr>
                <w:rFonts w:ascii="宋体" w:hAnsi="宋体" w:cs="宋体"/>
                <w:color w:val="auto"/>
                <w:highlight w:val="none"/>
              </w:rPr>
            </w:pPr>
          </w:p>
        </w:tc>
        <w:tc>
          <w:tcPr>
            <w:tcW w:w="7419" w:type="dxa"/>
            <w:vAlign w:val="center"/>
          </w:tcPr>
          <w:p>
            <w:pPr>
              <w:widowControl/>
              <w:spacing w:line="400" w:lineRule="exact"/>
              <w:ind w:firstLine="421" w:firstLineChars="200"/>
              <w:jc w:val="left"/>
              <w:outlineLvl w:val="3"/>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人员配置情况分</w:t>
            </w:r>
          </w:p>
          <w:p>
            <w:pPr>
              <w:spacing w:line="400" w:lineRule="exact"/>
              <w:ind w:firstLine="424" w:firstLineChars="202"/>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（1）拟投入项目负责人具有林业</w:t>
            </w:r>
            <w:r>
              <w:rPr>
                <w:rFonts w:hint="eastAsia" w:ascii="宋体" w:hAnsi="宋体" w:eastAsia="宋体" w:cs="宋体"/>
                <w:color w:val="auto"/>
                <w:szCs w:val="21"/>
                <w:highlight w:val="none"/>
                <w:lang w:val="en-US" w:eastAsia="zh-CN"/>
              </w:rPr>
              <w:t>类</w:t>
            </w:r>
            <w:r>
              <w:rPr>
                <w:rFonts w:hint="eastAsia" w:ascii="宋体" w:hAnsi="宋体" w:eastAsia="宋体" w:cs="宋体"/>
                <w:color w:val="auto"/>
                <w:szCs w:val="21"/>
                <w:highlight w:val="none"/>
              </w:rPr>
              <w:t>或经济类相关专业高级及以上职称的，得</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不提供不得分。</w:t>
            </w:r>
          </w:p>
          <w:p>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技术负责人：具有林业类高级职称得5分，具有林业类中级职称得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 xml:space="preserve">分，不提供不得分，本项最高可得5分； </w:t>
            </w:r>
          </w:p>
          <w:p>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其他人员（项目负责人和技术负责人除外）：具有林业类中级职称得1.5分，具有林业类初级职称得1分，不提供不得分，本项最高可得5分； </w:t>
            </w:r>
          </w:p>
          <w:p>
            <w:pPr>
              <w:spacing w:line="400" w:lineRule="exact"/>
              <w:ind w:firstLine="424" w:firstLineChars="202"/>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注：以上人员提供职称证书复印件加盖单位公章， 还需提供</w:t>
            </w:r>
            <w:r>
              <w:rPr>
                <w:rFonts w:hint="eastAsia" w:ascii="宋体" w:hAnsi="宋体" w:cs="宋体"/>
                <w:color w:val="auto"/>
                <w:szCs w:val="21"/>
                <w:highlight w:val="none"/>
                <w:lang w:val="en-US" w:eastAsia="zh-CN"/>
              </w:rPr>
              <w:t>至投标截止之日前近6个月任意一个月</w:t>
            </w:r>
            <w:r>
              <w:rPr>
                <w:rFonts w:hint="eastAsia" w:ascii="宋体" w:hAnsi="宋体" w:eastAsia="宋体" w:cs="宋体"/>
                <w:color w:val="auto"/>
                <w:szCs w:val="21"/>
                <w:highlight w:val="none"/>
              </w:rPr>
              <w:t>社保复印件或聘用合同复印件加盖公章。</w:t>
            </w:r>
          </w:p>
          <w:p>
            <w:pPr>
              <w:jc w:val="left"/>
              <w:rPr>
                <w:rFonts w:ascii="宋体" w:hAnsi="宋体" w:cs="宋体"/>
                <w:color w:val="auto"/>
                <w:highlight w:val="none"/>
              </w:rPr>
            </w:pP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7</w:t>
            </w:r>
          </w:p>
        </w:tc>
        <w:tc>
          <w:tcPr>
            <w:tcW w:w="959" w:type="dxa"/>
            <w:vMerge w:val="continue"/>
            <w:vAlign w:val="center"/>
          </w:tcPr>
          <w:p>
            <w:pPr>
              <w:jc w:val="center"/>
              <w:rPr>
                <w:rFonts w:ascii="宋体" w:hAnsi="宋体" w:cs="宋体"/>
                <w:color w:val="auto"/>
                <w:highlight w:val="none"/>
              </w:rPr>
            </w:pPr>
          </w:p>
        </w:tc>
        <w:tc>
          <w:tcPr>
            <w:tcW w:w="7419" w:type="dxa"/>
            <w:vAlign w:val="center"/>
          </w:tcPr>
          <w:p>
            <w:pPr>
              <w:jc w:val="left"/>
              <w:rPr>
                <w:rFonts w:ascii="宋体" w:hAnsi="宋体" w:cs="宋体"/>
                <w:color w:val="auto"/>
                <w:highlight w:val="none"/>
              </w:rPr>
            </w:pPr>
            <w:r>
              <w:rPr>
                <w:rFonts w:hint="eastAsia" w:ascii="宋体" w:hAnsi="宋体" w:cs="宋体"/>
                <w:color w:val="auto"/>
                <w:highlight w:val="none"/>
              </w:rPr>
              <w:t>供应商自2022年1月1日以来具有与本次采购内容有关的</w:t>
            </w:r>
            <w:r>
              <w:rPr>
                <w:rFonts w:hint="eastAsia" w:ascii="宋体" w:hAnsi="宋体" w:cs="宋体"/>
                <w:color w:val="auto"/>
                <w:highlight w:val="none"/>
                <w:lang w:val="en-US" w:eastAsia="zh-CN"/>
              </w:rPr>
              <w:t>同类</w:t>
            </w:r>
            <w:r>
              <w:rPr>
                <w:rFonts w:hint="eastAsia" w:ascii="宋体" w:hAnsi="宋体" w:cs="宋体"/>
                <w:color w:val="auto"/>
                <w:highlight w:val="none"/>
              </w:rPr>
              <w:t>项目业绩。在首次响应文件中提供有效类似项目业绩的合同关键页复印件（包含合同名称、合同内容，以及盖章页，供应商认为属于保密内容的，可以遮盖处理），每提供一个合同得2</w:t>
            </w:r>
            <w:r>
              <w:rPr>
                <w:rFonts w:hint="eastAsia" w:ascii="宋体" w:hAnsi="宋体" w:cs="宋体"/>
                <w:color w:val="auto"/>
                <w:highlight w:val="none"/>
                <w:lang w:val="en-US" w:eastAsia="zh-CN"/>
              </w:rPr>
              <w:t>.5</w:t>
            </w:r>
            <w:r>
              <w:rPr>
                <w:rFonts w:hint="eastAsia" w:ascii="宋体" w:hAnsi="宋体" w:cs="宋体"/>
                <w:color w:val="auto"/>
                <w:highlight w:val="none"/>
              </w:rPr>
              <w:t>分，满分</w:t>
            </w:r>
            <w:r>
              <w:rPr>
                <w:rFonts w:hint="eastAsia" w:ascii="宋体" w:hAnsi="宋体" w:cs="宋体"/>
                <w:color w:val="auto"/>
                <w:highlight w:val="none"/>
                <w:lang w:val="en-US" w:eastAsia="zh-CN"/>
              </w:rPr>
              <w:t>10</w:t>
            </w:r>
            <w:r>
              <w:rPr>
                <w:rFonts w:hint="eastAsia" w:ascii="宋体" w:hAnsi="宋体" w:cs="宋体"/>
                <w:color w:val="auto"/>
                <w:highlight w:val="none"/>
              </w:rPr>
              <w:t>分。</w:t>
            </w:r>
          </w:p>
        </w:tc>
        <w:tc>
          <w:tcPr>
            <w:tcW w:w="934" w:type="dxa"/>
            <w:vAlign w:val="center"/>
          </w:tcPr>
          <w:p>
            <w:pPr>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10</w:t>
            </w:r>
          </w:p>
        </w:tc>
      </w:tr>
    </w:tbl>
    <w:p>
      <w:pPr>
        <w:spacing w:line="360" w:lineRule="auto"/>
        <w:ind w:firstLine="420" w:firstLineChars="200"/>
        <w:rPr>
          <w:rFonts w:ascii="宋体" w:hAnsi="宋体" w:cs="宋体"/>
          <w:color w:val="auto"/>
          <w:highlight w:val="none"/>
        </w:rPr>
      </w:pPr>
    </w:p>
    <w:p>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7.2终止竞争性磋商采购活动</w:t>
      </w:r>
    </w:p>
    <w:p>
      <w:pPr>
        <w:spacing w:line="360" w:lineRule="auto"/>
        <w:ind w:firstLine="420" w:firstLineChars="200"/>
        <w:rPr>
          <w:rFonts w:ascii="宋体" w:hAnsi="宋体"/>
          <w:b/>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ind w:firstLine="640" w:firstLineChars="200"/>
        <w:jc w:val="center"/>
        <w:rPr>
          <w:rFonts w:ascii="宋体" w:hAnsi="宋体"/>
          <w:b w:val="0"/>
          <w:color w:val="auto"/>
          <w:highlight w:val="none"/>
        </w:rPr>
      </w:pPr>
      <w:bookmarkStart w:id="122" w:name="_Toc80886939"/>
      <w:bookmarkStart w:id="123" w:name="_Toc22545"/>
      <w:bookmarkStart w:id="124" w:name="_Toc11595"/>
      <w:r>
        <w:rPr>
          <w:rFonts w:hint="eastAsia" w:ascii="宋体" w:hAnsi="宋体"/>
          <w:b w:val="0"/>
          <w:color w:val="auto"/>
          <w:highlight w:val="none"/>
        </w:rPr>
        <w:t>第二节 评审报告</w:t>
      </w:r>
      <w:bookmarkEnd w:id="120"/>
      <w:bookmarkEnd w:id="122"/>
      <w:bookmarkEnd w:id="123"/>
      <w:bookmarkEnd w:id="124"/>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1.成交标准</w:t>
      </w:r>
    </w:p>
    <w:p>
      <w:pPr>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分得分由高到低排序，技术分得分相同的按照商务分得分由高到低排序）。评审得分、最后报价（不计算价格折扣）、技术分得分、商务分得分均相同的，由磋商小组随机抽取推荐。</w:t>
      </w:r>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2.评标争议</w:t>
      </w:r>
      <w:r>
        <w:rPr>
          <w:rFonts w:ascii="黑体" w:hAnsi="黑体" w:eastAsia="黑体" w:cs="宋体"/>
          <w:color w:val="auto"/>
          <w:sz w:val="24"/>
          <w:szCs w:val="32"/>
          <w:highlight w:val="none"/>
        </w:rPr>
        <w:t>事项</w:t>
      </w:r>
      <w:r>
        <w:rPr>
          <w:rFonts w:hint="eastAsia" w:ascii="黑体" w:hAnsi="黑体" w:eastAsia="黑体" w:cs="宋体"/>
          <w:color w:val="auto"/>
          <w:sz w:val="24"/>
          <w:szCs w:val="32"/>
          <w:highlight w:val="none"/>
        </w:rPr>
        <w:t>处理</w:t>
      </w:r>
    </w:p>
    <w:p>
      <w:pPr>
        <w:pStyle w:val="67"/>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磋商小组成员对需要共同认定的事项存在争议的，应当按照少数服从多数的原则作出结论。持不同意见的磋商小组成员应当在评审报告上签署不同意见及理由，否则视为同意评审报告。</w:t>
      </w:r>
    </w:p>
    <w:p>
      <w:pPr>
        <w:pStyle w:val="67"/>
        <w:spacing w:before="0"/>
        <w:ind w:firstLine="420"/>
        <w:rPr>
          <w:rFonts w:cs="宋体"/>
          <w:color w:val="auto"/>
          <w:kern w:val="2"/>
          <w:sz w:val="21"/>
          <w:szCs w:val="24"/>
          <w:highlight w:val="none"/>
        </w:rPr>
      </w:pPr>
    </w:p>
    <w:p>
      <w:pPr>
        <w:pStyle w:val="4"/>
        <w:spacing w:before="0" w:after="0" w:line="360" w:lineRule="auto"/>
        <w:ind w:firstLine="640" w:firstLineChars="200"/>
        <w:jc w:val="center"/>
        <w:rPr>
          <w:rFonts w:ascii="宋体" w:hAnsi="宋体"/>
          <w:b w:val="0"/>
          <w:color w:val="auto"/>
          <w:highlight w:val="none"/>
        </w:rPr>
      </w:pPr>
      <w:bookmarkStart w:id="125" w:name="_Toc80205936"/>
      <w:bookmarkStart w:id="126" w:name="_Toc80886940"/>
      <w:bookmarkStart w:id="127" w:name="_Toc20045"/>
      <w:bookmarkStart w:id="128" w:name="_Toc2025"/>
      <w:r>
        <w:rPr>
          <w:rFonts w:hint="eastAsia" w:ascii="宋体" w:hAnsi="宋体"/>
          <w:b w:val="0"/>
          <w:color w:val="auto"/>
          <w:highlight w:val="none"/>
        </w:rPr>
        <w:t>第三节 评审过程的保密与录像</w:t>
      </w:r>
      <w:bookmarkEnd w:id="125"/>
      <w:bookmarkEnd w:id="126"/>
      <w:bookmarkEnd w:id="127"/>
      <w:bookmarkEnd w:id="128"/>
    </w:p>
    <w:p>
      <w:pPr>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1.保密。</w:t>
      </w:r>
    </w:p>
    <w:p>
      <w:pPr>
        <w:widowControl/>
        <w:spacing w:line="360" w:lineRule="auto"/>
        <w:ind w:firstLine="420" w:firstLineChars="200"/>
        <w:rPr>
          <w:rFonts w:cs="宋体"/>
          <w:color w:val="auto"/>
          <w:highlight w:val="none"/>
        </w:rPr>
      </w:pPr>
      <w:r>
        <w:rPr>
          <w:rFonts w:cs="宋体"/>
          <w:color w:val="auto"/>
          <w:highlight w:val="none"/>
        </w:rPr>
        <w:t>评审活动在严格保密的情况下进行。评审过程中凡是与响应文件评审和比较、中标成交供应商推荐等评审有关的情况，以及涉及国家秘密和商业秘密等信息，</w:t>
      </w:r>
      <w:r>
        <w:rPr>
          <w:rFonts w:hint="eastAsia" w:cs="宋体"/>
          <w:color w:val="auto"/>
          <w:highlight w:val="none"/>
        </w:rPr>
        <w:t>磋商小组</w:t>
      </w:r>
      <w:r>
        <w:rPr>
          <w:rFonts w:cs="宋体"/>
          <w:color w:val="auto"/>
          <w:highlight w:val="none"/>
        </w:rPr>
        <w:t>成员、采购人和采购</w:t>
      </w:r>
      <w:r>
        <w:rPr>
          <w:rFonts w:hint="eastAsia" w:cs="宋体"/>
          <w:color w:val="auto"/>
          <w:highlight w:val="none"/>
        </w:rPr>
        <w:t>代理</w:t>
      </w:r>
      <w:r>
        <w:rPr>
          <w:rFonts w:cs="宋体"/>
          <w:color w:val="auto"/>
          <w:highlight w:val="none"/>
        </w:rPr>
        <w:t>机构工作人员、相关监督人员等与评审有关的人员应当予以保密。</w:t>
      </w:r>
    </w:p>
    <w:p>
      <w:pPr>
        <w:widowControl/>
        <w:spacing w:line="360" w:lineRule="auto"/>
        <w:ind w:firstLine="480" w:firstLineChars="200"/>
        <w:rPr>
          <w:rFonts w:ascii="黑体" w:hAnsi="黑体" w:eastAsia="黑体" w:cs="宋体"/>
          <w:color w:val="auto"/>
          <w:sz w:val="24"/>
          <w:szCs w:val="32"/>
          <w:highlight w:val="none"/>
        </w:rPr>
      </w:pPr>
      <w:r>
        <w:rPr>
          <w:rFonts w:hint="eastAsia" w:ascii="黑体" w:hAnsi="黑体" w:eastAsia="黑体" w:cs="宋体"/>
          <w:color w:val="auto"/>
          <w:sz w:val="24"/>
          <w:szCs w:val="32"/>
          <w:highlight w:val="none"/>
        </w:rPr>
        <w:t>2.录音录像。</w:t>
      </w:r>
    </w:p>
    <w:p>
      <w:pPr>
        <w:spacing w:line="360" w:lineRule="auto"/>
        <w:ind w:firstLine="420" w:firstLineChars="200"/>
        <w:rPr>
          <w:color w:val="auto"/>
          <w:highlight w:val="none"/>
        </w:rPr>
      </w:pPr>
      <w:r>
        <w:rPr>
          <w:rFonts w:hint="eastAsia" w:cs="宋体"/>
          <w:color w:val="auto"/>
          <w:highlight w:val="none"/>
        </w:rPr>
        <w:t>采购代理机构对评审工作现场及操作屏幕进行全过程录音录像，录音录像资料作为采购项目文件随其他文件一并存档。</w:t>
      </w:r>
    </w:p>
    <w:p>
      <w:pPr>
        <w:pStyle w:val="4"/>
        <w:jc w:val="center"/>
        <w:rPr>
          <w:color w:val="auto"/>
          <w:highlight w:val="none"/>
        </w:rPr>
      </w:pPr>
      <w:r>
        <w:rPr>
          <w:color w:val="auto"/>
          <w:highlight w:val="none"/>
        </w:rPr>
        <w:br w:type="page"/>
      </w:r>
    </w:p>
    <w:p>
      <w:pPr>
        <w:pStyle w:val="4"/>
        <w:jc w:val="center"/>
        <w:rPr>
          <w:color w:val="auto"/>
          <w:highlight w:val="none"/>
        </w:rPr>
      </w:pPr>
    </w:p>
    <w:p>
      <w:pPr>
        <w:pStyle w:val="4"/>
        <w:jc w:val="center"/>
        <w:rPr>
          <w:color w:val="auto"/>
          <w:highlight w:val="none"/>
        </w:rPr>
      </w:pPr>
    </w:p>
    <w:p>
      <w:pPr>
        <w:pStyle w:val="4"/>
        <w:jc w:val="center"/>
        <w:rPr>
          <w:color w:val="auto"/>
          <w:highlight w:val="none"/>
        </w:rPr>
      </w:pPr>
    </w:p>
    <w:p>
      <w:pPr>
        <w:rPr>
          <w:color w:val="auto"/>
          <w:highlight w:val="none"/>
        </w:rPr>
      </w:pPr>
    </w:p>
    <w:p>
      <w:pPr>
        <w:pStyle w:val="3"/>
        <w:rPr>
          <w:color w:val="auto"/>
          <w:highlight w:val="none"/>
        </w:rPr>
      </w:pPr>
    </w:p>
    <w:p>
      <w:pPr>
        <w:rPr>
          <w:color w:val="auto"/>
          <w:highlight w:val="none"/>
        </w:rPr>
      </w:pPr>
    </w:p>
    <w:p>
      <w:pPr>
        <w:pStyle w:val="3"/>
        <w:jc w:val="center"/>
        <w:rPr>
          <w:color w:val="auto"/>
          <w:highlight w:val="none"/>
        </w:rPr>
        <w:sectPr>
          <w:headerReference r:id="rId10" w:type="default"/>
          <w:footerReference r:id="rId11" w:type="default"/>
          <w:pgSz w:w="11911" w:h="16838"/>
          <w:pgMar w:top="1134" w:right="1134" w:bottom="1134" w:left="1134" w:header="720" w:footer="720" w:gutter="0"/>
          <w:cols w:space="720" w:num="1"/>
        </w:sectPr>
      </w:pPr>
      <w:bookmarkStart w:id="129" w:name="_Toc27282"/>
      <w:bookmarkStart w:id="130" w:name="_Toc5005"/>
      <w:bookmarkStart w:id="131" w:name="_Toc80886941"/>
      <w:bookmarkStart w:id="132" w:name="_Toc22302"/>
      <w:bookmarkStart w:id="133" w:name="_Toc7776"/>
      <w:bookmarkStart w:id="134" w:name="_Toc17404"/>
      <w:bookmarkStart w:id="135" w:name="_Toc12890"/>
      <w:bookmarkStart w:id="136" w:name="_Toc26272"/>
      <w:r>
        <w:rPr>
          <w:rFonts w:hint="eastAsia" w:ascii="Calibri" w:hAnsi="Calibri"/>
          <w:color w:val="auto"/>
          <w:highlight w:val="none"/>
        </w:rPr>
        <w:t>第五章 响应文件格式</w:t>
      </w:r>
      <w:bookmarkEnd w:id="129"/>
      <w:bookmarkEnd w:id="130"/>
      <w:bookmarkEnd w:id="131"/>
      <w:bookmarkEnd w:id="132"/>
      <w:bookmarkEnd w:id="133"/>
      <w:bookmarkEnd w:id="134"/>
      <w:bookmarkEnd w:id="135"/>
      <w:bookmarkEnd w:id="136"/>
    </w:p>
    <w:p>
      <w:pPr>
        <w:pStyle w:val="4"/>
        <w:jc w:val="center"/>
        <w:rPr>
          <w:rFonts w:ascii="宋体" w:hAnsi="宋体"/>
          <w:bCs w:val="0"/>
          <w:color w:val="auto"/>
          <w:highlight w:val="none"/>
        </w:rPr>
      </w:pPr>
      <w:bookmarkStart w:id="137" w:name="_Toc12994"/>
      <w:bookmarkStart w:id="138" w:name="_Toc80205939"/>
      <w:bookmarkStart w:id="139" w:name="_Toc80886943"/>
      <w:bookmarkStart w:id="140" w:name="_Toc22245"/>
      <w:r>
        <w:rPr>
          <w:rFonts w:hint="eastAsia" w:ascii="宋体" w:hAnsi="宋体"/>
          <w:bCs w:val="0"/>
          <w:color w:val="auto"/>
          <w:highlight w:val="none"/>
        </w:rPr>
        <w:t>第一节 资格证明文件格式</w:t>
      </w:r>
      <w:bookmarkEnd w:id="137"/>
      <w:bookmarkEnd w:id="138"/>
      <w:bookmarkEnd w:id="139"/>
      <w:bookmarkEnd w:id="140"/>
    </w:p>
    <w:p>
      <w:pPr>
        <w:snapToGrid w:val="0"/>
        <w:spacing w:before="120" w:beforeLines="50" w:after="50"/>
        <w:jc w:val="left"/>
        <w:rPr>
          <w:color w:val="auto"/>
          <w:sz w:val="24"/>
          <w:highlight w:val="none"/>
        </w:rPr>
      </w:pPr>
      <w:r>
        <w:rPr>
          <w:rFonts w:hint="eastAsia" w:hAnsi="宋体" w:cs="宋体"/>
          <w:b/>
          <w:bCs/>
          <w:color w:val="auto"/>
          <w:sz w:val="28"/>
          <w:szCs w:val="28"/>
          <w:highlight w:val="none"/>
        </w:rPr>
        <w:t>1.资格证明文件封面的格式</w:t>
      </w:r>
      <w:r>
        <w:rPr>
          <w:rFonts w:hint="eastAsia" w:ascii="宋体" w:hAnsi="宋体" w:cs="宋体"/>
          <w:b/>
          <w:color w:val="auto"/>
          <w:sz w:val="28"/>
          <w:szCs w:val="28"/>
          <w:highlight w:val="none"/>
        </w:rPr>
        <w:t>（参照此格式自拟）</w:t>
      </w:r>
      <w:r>
        <w:rPr>
          <w:rFonts w:hint="eastAsia" w:hAnsi="宋体" w:cs="宋体"/>
          <w:b/>
          <w:bCs/>
          <w:color w:val="auto"/>
          <w:sz w:val="28"/>
          <w:szCs w:val="28"/>
          <w:highlight w:val="none"/>
        </w:rPr>
        <w:t>：</w:t>
      </w:r>
      <w:r>
        <w:rPr>
          <w:rFonts w:hint="eastAsia"/>
          <w:color w:val="auto"/>
          <w:sz w:val="24"/>
          <w:highlight w:val="none"/>
        </w:rPr>
        <w:t xml:space="preserve">                                      </w:t>
      </w:r>
    </w:p>
    <w:p>
      <w:pPr>
        <w:snapToGrid w:val="0"/>
        <w:spacing w:before="120" w:beforeLines="50" w:after="50"/>
        <w:ind w:firstLine="6930" w:firstLineChars="3300"/>
        <w:rPr>
          <w:bCs/>
          <w:color w:val="auto"/>
          <w:sz w:val="32"/>
          <w:szCs w:val="20"/>
          <w:highlight w:val="none"/>
        </w:rPr>
      </w:pPr>
      <w:r>
        <w:rPr>
          <w:rFonts w:hint="eastAsia"/>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资  格  证  明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cs="仿宋_GB2312"/>
          <w:bCs/>
          <w:color w:val="auto"/>
          <w:sz w:val="32"/>
          <w:szCs w:val="32"/>
          <w:highlight w:val="none"/>
        </w:rPr>
      </w:pP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1280" w:firstLineChars="400"/>
        <w:rPr>
          <w:rFonts w:cs="仿宋_GB2312"/>
          <w:bCs/>
          <w:color w:val="auto"/>
          <w:sz w:val="32"/>
          <w:szCs w:val="32"/>
          <w:highlight w:val="none"/>
        </w:rPr>
      </w:pPr>
    </w:p>
    <w:p>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ascii="宋体" w:hAnsi="宋体" w:cs="宋体"/>
          <w:b/>
          <w:bCs/>
          <w:color w:val="auto"/>
          <w:sz w:val="28"/>
          <w:szCs w:val="28"/>
          <w:highlight w:val="none"/>
        </w:rPr>
      </w:pPr>
      <w:r>
        <w:rPr>
          <w:color w:val="auto"/>
          <w:sz w:val="24"/>
          <w:highlight w:val="none"/>
        </w:rPr>
        <w:br w:type="page"/>
      </w:r>
      <w:r>
        <w:rPr>
          <w:rFonts w:hint="eastAsia" w:ascii="宋体" w:hAnsi="宋体" w:cs="宋体"/>
          <w:b/>
          <w:bCs/>
          <w:color w:val="auto"/>
          <w:sz w:val="28"/>
          <w:szCs w:val="28"/>
          <w:highlight w:val="none"/>
        </w:rPr>
        <w:t>2.资格证明文件目录</w:t>
      </w:r>
    </w:p>
    <w:p>
      <w:pPr>
        <w:spacing w:line="360" w:lineRule="auto"/>
        <w:rPr>
          <w:rFonts w:ascii="宋体" w:hAnsi="宋体" w:cs="宋体"/>
          <w:b/>
          <w:bCs/>
          <w:color w:val="auto"/>
          <w:sz w:val="28"/>
          <w:szCs w:val="28"/>
          <w:highlight w:val="none"/>
        </w:rPr>
      </w:pPr>
      <w:r>
        <w:rPr>
          <w:rFonts w:hint="eastAsia" w:ascii="宋体" w:hAnsi="宋体" w:cs="宋体"/>
          <w:color w:val="auto"/>
          <w:sz w:val="28"/>
          <w:szCs w:val="28"/>
          <w:highlight w:val="none"/>
        </w:rPr>
        <w:t xml:space="preserve">    根据竞争性磋商文件规定及供应商提供的材料自行编写目录（部分格式后附）。</w:t>
      </w:r>
    </w:p>
    <w:p>
      <w:pPr>
        <w:spacing w:line="320" w:lineRule="exact"/>
        <w:jc w:val="left"/>
        <w:rPr>
          <w:rFonts w:ascii="宋体" w:hAnsi="宋体" w:cs="宋体"/>
          <w:b/>
          <w:bCs/>
          <w:color w:val="auto"/>
          <w:sz w:val="28"/>
          <w:szCs w:val="28"/>
          <w:highlight w:val="none"/>
        </w:rPr>
      </w:pPr>
      <w:r>
        <w:rPr>
          <w:rFonts w:hint="eastAsia"/>
          <w:color w:val="auto"/>
          <w:szCs w:val="21"/>
          <w:highlight w:val="none"/>
        </w:rPr>
        <w:br w:type="page"/>
      </w:r>
      <w:r>
        <w:rPr>
          <w:rFonts w:hint="eastAsia" w:ascii="宋体" w:hAnsi="宋体" w:cs="宋体"/>
          <w:b/>
          <w:bCs/>
          <w:color w:val="auto"/>
          <w:kern w:val="0"/>
          <w:sz w:val="28"/>
          <w:szCs w:val="28"/>
          <w:highlight w:val="none"/>
        </w:rPr>
        <w:t>3.声明函的格式：</w:t>
      </w:r>
    </w:p>
    <w:p>
      <w:pPr>
        <w:spacing w:line="320" w:lineRule="exact"/>
        <w:jc w:val="center"/>
        <w:rPr>
          <w:b/>
          <w:color w:val="auto"/>
          <w:sz w:val="32"/>
          <w:szCs w:val="32"/>
          <w:highlight w:val="none"/>
        </w:rPr>
      </w:pPr>
    </w:p>
    <w:p>
      <w:pPr>
        <w:spacing w:line="320" w:lineRule="exact"/>
        <w:jc w:val="center"/>
        <w:rPr>
          <w:b/>
          <w:color w:val="auto"/>
          <w:sz w:val="32"/>
          <w:szCs w:val="32"/>
          <w:highlight w:val="none"/>
        </w:rPr>
      </w:pPr>
      <w:r>
        <w:rPr>
          <w:rFonts w:hint="eastAsia"/>
          <w:b/>
          <w:color w:val="auto"/>
          <w:sz w:val="32"/>
          <w:szCs w:val="32"/>
          <w:highlight w:val="none"/>
        </w:rPr>
        <w:t>声明函</w:t>
      </w:r>
    </w:p>
    <w:p>
      <w:pPr>
        <w:spacing w:line="320" w:lineRule="exact"/>
        <w:jc w:val="center"/>
        <w:rPr>
          <w:color w:val="auto"/>
          <w:sz w:val="24"/>
          <w:szCs w:val="20"/>
          <w:highlight w:val="none"/>
        </w:rPr>
      </w:pPr>
    </w:p>
    <w:p>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（采购代理机构名称）</w:t>
      </w:r>
      <w:r>
        <w:rPr>
          <w:rFonts w:hint="eastAsia" w:ascii="宋体" w:hAnsi="宋体" w:cs="宋体"/>
          <w:color w:val="auto"/>
          <w:sz w:val="24"/>
          <w:highlight w:val="none"/>
        </w:rPr>
        <w:t>：</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i/>
          <w:iCs/>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我方愿意参加贵方组织的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（2）已详细审查磋商文件的全部内容，包括澄清或者更正公告（如有）；</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（3）同意提供按照贵方可能要求的与磋商有关的一切数据或者资料。</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pPr>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pStyle w:val="17"/>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kern w:val="0"/>
          <w:sz w:val="24"/>
          <w:highlight w:val="none"/>
        </w:rPr>
        <w:t>6.</w:t>
      </w:r>
      <w:r>
        <w:rPr>
          <w:rFonts w:hint="eastAsia" w:ascii="宋体" w:hAnsi="宋体" w:cs="宋体"/>
          <w:color w:val="auto"/>
          <w:sz w:val="24"/>
          <w:highlight w:val="none"/>
        </w:rPr>
        <w:t>以上事项如有虚假或者隐瞒，我方愿意承担一切后果，并不再寻求任何旨在减轻或者免除法律责任的辩解。</w:t>
      </w:r>
    </w:p>
    <w:p>
      <w:pPr>
        <w:pStyle w:val="17"/>
        <w:tabs>
          <w:tab w:val="left" w:pos="939"/>
        </w:tabs>
        <w:spacing w:line="44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pStyle w:val="17"/>
        <w:tabs>
          <w:tab w:val="left" w:pos="939"/>
        </w:tabs>
        <w:spacing w:line="440" w:lineRule="exact"/>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注：如为联合体竞标，盖章处须加盖联合体各方公章，否则其响应文件按无效响应处理。</w:t>
      </w:r>
    </w:p>
    <w:p>
      <w:pPr>
        <w:autoSpaceDE w:val="0"/>
        <w:autoSpaceDN w:val="0"/>
        <w:spacing w:line="360" w:lineRule="auto"/>
        <w:ind w:left="4365" w:leftChars="1850" w:hanging="480" w:hangingChars="200"/>
        <w:rPr>
          <w:rFonts w:ascii="宋体" w:hAnsi="宋体" w:cs="宋体"/>
          <w:color w:val="auto"/>
          <w:kern w:val="0"/>
          <w:sz w:val="24"/>
          <w:highlight w:val="none"/>
        </w:rPr>
      </w:pP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rPr>
          <w:rFonts w:ascii="宋体" w:hAnsi="宋体" w:cs="宋体"/>
          <w:color w:val="auto"/>
          <w:kern w:val="0"/>
          <w:sz w:val="24"/>
          <w:highlight w:val="none"/>
          <w:lang w:val="zh-CN"/>
        </w:rPr>
      </w:pPr>
    </w:p>
    <w:p>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4.</w:t>
      </w:r>
      <w:r>
        <w:rPr>
          <w:rFonts w:hint="eastAsia" w:ascii="宋体" w:hAnsi="宋体" w:cs="宋体"/>
          <w:b/>
          <w:color w:val="auto"/>
          <w:sz w:val="28"/>
          <w:szCs w:val="28"/>
          <w:highlight w:val="none"/>
        </w:rPr>
        <w:t>供应商直接控股股东信息表的格式</w:t>
      </w:r>
      <w:r>
        <w:rPr>
          <w:rFonts w:hint="eastAsia"/>
          <w:color w:val="auto"/>
          <w:sz w:val="28"/>
          <w:szCs w:val="28"/>
          <w:highlight w:val="none"/>
        </w:rPr>
        <w:t>：</w:t>
      </w:r>
    </w:p>
    <w:p>
      <w:pPr>
        <w:snapToGrid w:val="0"/>
        <w:jc w:val="left"/>
        <w:rPr>
          <w:color w:val="auto"/>
          <w:sz w:val="18"/>
          <w:szCs w:val="18"/>
          <w:highlight w:val="none"/>
        </w:rPr>
      </w:pPr>
    </w:p>
    <w:p>
      <w:pPr>
        <w:snapToGrid w:val="0"/>
        <w:spacing w:before="50" w:after="120" w:afterLines="50" w:line="360" w:lineRule="auto"/>
        <w:jc w:val="center"/>
        <w:rPr>
          <w:rFonts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供应商直接控股股东信息表</w:t>
      </w:r>
    </w:p>
    <w:tbl>
      <w:tblPr>
        <w:tblStyle w:val="31"/>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napToGrid w:val="0"/>
        <w:spacing w:line="360" w:lineRule="auto"/>
        <w:jc w:val="left"/>
        <w:rPr>
          <w:rFonts w:ascii="宋体" w:hAnsi="宋体"/>
          <w:color w:val="auto"/>
          <w:sz w:val="24"/>
          <w:highlight w:val="none"/>
        </w:rPr>
      </w:pPr>
      <w:r>
        <w:rPr>
          <w:rFonts w:hint="eastAsia" w:ascii="宋体" w:hAnsi="宋体"/>
          <w:color w:val="auto"/>
          <w:sz w:val="24"/>
          <w:highlight w:val="none"/>
        </w:rPr>
        <w:t>3.供应商不存在直接控股股东的，则填“无”。</w:t>
      </w:r>
    </w:p>
    <w:p>
      <w:pPr>
        <w:snapToGrid w:val="0"/>
        <w:spacing w:before="50" w:after="120" w:afterLines="50"/>
        <w:ind w:firstLine="180" w:firstLineChars="100"/>
        <w:jc w:val="left"/>
        <w:rPr>
          <w:rFonts w:ascii="宋体" w:hAnsi="宋体"/>
          <w:color w:val="auto"/>
          <w:sz w:val="18"/>
          <w:szCs w:val="18"/>
          <w:highlight w:val="none"/>
        </w:rPr>
      </w:pPr>
    </w:p>
    <w:p>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pPr>
        <w:snapToGrid w:val="0"/>
        <w:spacing w:line="360" w:lineRule="auto"/>
        <w:ind w:right="48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5.</w:t>
      </w:r>
      <w:r>
        <w:rPr>
          <w:rFonts w:hint="eastAsia" w:ascii="宋体" w:hAnsi="宋体" w:cs="宋体"/>
          <w:b/>
          <w:color w:val="auto"/>
          <w:sz w:val="28"/>
          <w:szCs w:val="28"/>
          <w:highlight w:val="none"/>
        </w:rPr>
        <w:t>供应商直接管理关系信息表的格式</w:t>
      </w:r>
      <w:r>
        <w:rPr>
          <w:rFonts w:hint="eastAsia"/>
          <w:color w:val="auto"/>
          <w:sz w:val="28"/>
          <w:szCs w:val="28"/>
          <w:highlight w:val="none"/>
        </w:rPr>
        <w:t>：</w:t>
      </w:r>
    </w:p>
    <w:p>
      <w:pPr>
        <w:snapToGrid w:val="0"/>
        <w:jc w:val="left"/>
        <w:rPr>
          <w:color w:val="auto"/>
          <w:sz w:val="18"/>
          <w:szCs w:val="18"/>
          <w:highlight w:val="none"/>
        </w:rPr>
      </w:pPr>
    </w:p>
    <w:p>
      <w:pPr>
        <w:snapToGrid w:val="0"/>
        <w:spacing w:line="360" w:lineRule="auto"/>
        <w:jc w:val="center"/>
        <w:rPr>
          <w:rFonts w:ascii="宋体" w:hAnsi="宋体"/>
          <w:color w:val="auto"/>
          <w:sz w:val="32"/>
          <w:szCs w:val="32"/>
          <w:highlight w:val="none"/>
        </w:rPr>
      </w:pPr>
      <w:r>
        <w:rPr>
          <w:rFonts w:hint="eastAsia" w:ascii="宋体" w:hAnsi="宋体"/>
          <w:b/>
          <w:color w:val="auto"/>
          <w:sz w:val="32"/>
          <w:szCs w:val="32"/>
          <w:highlight w:val="none"/>
        </w:rPr>
        <w:t>供应商直接管理关系信息表</w:t>
      </w:r>
    </w:p>
    <w:tbl>
      <w:tblPr>
        <w:tblStyle w:val="31"/>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r>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pPr>
              <w:spacing w:line="360" w:lineRule="auto"/>
              <w:jc w:val="center"/>
              <w:rPr>
                <w:rFonts w:ascii="宋体" w:hAnsi="宋体" w:cs="宋体"/>
                <w:color w:val="auto"/>
                <w:kern w:val="0"/>
                <w:sz w:val="24"/>
                <w:highlight w:val="none"/>
              </w:rPr>
            </w:pPr>
          </w:p>
        </w:tc>
      </w:tr>
    </w:tbl>
    <w:p>
      <w:pPr>
        <w:snapToGrid w:val="0"/>
        <w:spacing w:line="360" w:lineRule="auto"/>
        <w:jc w:val="left"/>
        <w:rPr>
          <w:rFonts w:ascii="宋体" w:hAnsi="宋体"/>
          <w:color w:val="auto"/>
          <w:sz w:val="24"/>
          <w:highlight w:val="none"/>
        </w:rPr>
      </w:pPr>
      <w:r>
        <w:rPr>
          <w:rFonts w:hint="eastAsia" w:ascii="宋体" w:hAnsi="宋体"/>
          <w:color w:val="auto"/>
          <w:sz w:val="24"/>
          <w:highlight w:val="none"/>
        </w:rPr>
        <w:t>注：</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napToGrid w:val="0"/>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3.供应商不存在直接管理关系的，则填“无”。</w:t>
      </w:r>
    </w:p>
    <w:p>
      <w:pPr>
        <w:snapToGrid w:val="0"/>
        <w:spacing w:before="50" w:after="120" w:afterLines="50"/>
        <w:ind w:firstLine="180" w:firstLineChars="100"/>
        <w:jc w:val="left"/>
        <w:rPr>
          <w:rFonts w:ascii="宋体" w:hAnsi="宋体"/>
          <w:color w:val="auto"/>
          <w:sz w:val="18"/>
          <w:szCs w:val="18"/>
          <w:highlight w:val="none"/>
        </w:rPr>
      </w:pPr>
    </w:p>
    <w:p>
      <w:pPr>
        <w:snapToGrid w:val="0"/>
        <w:spacing w:before="50" w:after="240" w:afterLines="100"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p>
    <w:p>
      <w:pPr>
        <w:autoSpaceDE w:val="0"/>
        <w:autoSpaceDN w:val="0"/>
        <w:spacing w:line="360" w:lineRule="auto"/>
        <w:ind w:left="4365" w:leftChars="1850" w:hanging="480" w:hangingChars="200"/>
        <w:rPr>
          <w:rFonts w:ascii="宋体" w:hAnsi="宋体" w:cs="宋体"/>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napToGrid w:val="0"/>
        <w:spacing w:before="50" w:after="240" w:afterLines="100" w:line="360" w:lineRule="auto"/>
        <w:ind w:left="7428" w:leftChars="2223" w:hanging="2760" w:hangingChars="1150"/>
        <w:jc w:val="left"/>
        <w:rPr>
          <w:rFonts w:ascii="宋体" w:hAnsi="宋体" w:cs="宋体"/>
          <w:b/>
          <w:bCs/>
          <w:color w:val="auto"/>
          <w:sz w:val="30"/>
          <w:szCs w:val="30"/>
          <w:highlight w:val="none"/>
        </w:rPr>
      </w:pPr>
      <w:r>
        <w:rPr>
          <w:rFonts w:hint="eastAsia" w:ascii="宋体" w:hAnsi="宋体" w:cs="宋体"/>
          <w:color w:val="auto"/>
          <w:kern w:val="0"/>
          <w:sz w:val="24"/>
          <w:highlight w:val="none"/>
          <w:lang w:val="zh-CN"/>
        </w:rPr>
        <w:t>日期：  年  月   日</w:t>
      </w:r>
    </w:p>
    <w:p>
      <w:pP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br w:type="page"/>
      </w:r>
    </w:p>
    <w:p>
      <w:pPr>
        <w:pStyle w:val="8"/>
        <w:overflowPunct w:val="0"/>
        <w:spacing w:line="520" w:lineRule="exact"/>
        <w:ind w:firstLine="0"/>
        <w:rPr>
          <w:rFonts w:ascii="宋体" w:hAnsi="宋体" w:cs="宋体"/>
          <w:b/>
          <w:bCs/>
          <w:color w:val="auto"/>
          <w:sz w:val="28"/>
          <w:szCs w:val="28"/>
          <w:highlight w:val="none"/>
        </w:rPr>
      </w:pPr>
      <w:r>
        <w:rPr>
          <w:rFonts w:hint="eastAsia" w:ascii="宋体" w:hAnsi="宋体" w:cs="宋体"/>
          <w:b/>
          <w:color w:val="auto"/>
          <w:kern w:val="0"/>
          <w:sz w:val="28"/>
          <w:szCs w:val="28"/>
          <w:highlight w:val="none"/>
        </w:rPr>
        <w:t>6.联合体竞标协议书的格式：</w:t>
      </w:r>
    </w:p>
    <w:p>
      <w:pPr>
        <w:spacing w:line="600" w:lineRule="exact"/>
        <w:jc w:val="center"/>
        <w:rPr>
          <w:rFonts w:ascii="仿宋" w:hAnsi="仿宋" w:eastAsia="仿宋" w:cs="仿宋"/>
          <w:color w:val="auto"/>
          <w:sz w:val="44"/>
          <w:szCs w:val="44"/>
          <w:highlight w:val="none"/>
        </w:rPr>
      </w:pPr>
    </w:p>
    <w:p>
      <w:pPr>
        <w:spacing w:line="6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联合体竞标协议书</w:t>
      </w:r>
    </w:p>
    <w:p>
      <w:pPr>
        <w:autoSpaceDE w:val="0"/>
        <w:autoSpaceDN w:val="0"/>
        <w:adjustRightInd w:val="0"/>
        <w:spacing w:line="360" w:lineRule="auto"/>
        <w:jc w:val="left"/>
        <w:rPr>
          <w:rFonts w:hAnsi="Calibri" w:cs="宋体"/>
          <w:color w:val="auto"/>
          <w:kern w:val="0"/>
          <w:szCs w:val="21"/>
          <w:highlight w:val="none"/>
          <w:u w:val="singl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（采购代理机构名称）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 xml:space="preserve"> （项目名称）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i/>
          <w:iCs/>
          <w:color w:val="auto"/>
          <w:kern w:val="0"/>
          <w:sz w:val="24"/>
          <w:highlight w:val="none"/>
          <w:u w:val="singl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）竞争性磋商采购。现就联合体竞标事宜订立如下协议：</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exact"/>
        <w:ind w:left="479" w:leftChars="228"/>
        <w:jc w:val="left"/>
        <w:rPr>
          <w:rFonts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pPr>
        <w:spacing w:line="3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5、本联合体中，</w:t>
      </w:r>
      <w:r>
        <w:rPr>
          <w:rFonts w:hint="eastAsia" w:ascii="宋体" w:hAnsi="宋体" w:cs="宋体"/>
          <w:color w:val="auto"/>
          <w:kern w:val="0"/>
          <w:sz w:val="24"/>
          <w:highlight w:val="none"/>
          <w:u w:val="single"/>
        </w:rPr>
        <w:t xml:space="preserve">                         （某成员单位名称）为       </w:t>
      </w:r>
      <w:r>
        <w:rPr>
          <w:rFonts w:hint="eastAsia" w:ascii="宋体" w:hAnsi="宋体" w:cs="宋体"/>
          <w:color w:val="auto"/>
          <w:kern w:val="0"/>
          <w:sz w:val="24"/>
          <w:highlight w:val="none"/>
        </w:rPr>
        <w:t>（请填写：中型、小型、微型）企业，其协议合同金额占联合体协议合同总金额的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pPr>
        <w:autoSpaceDE w:val="0"/>
        <w:autoSpaceDN w:val="0"/>
        <w:adjustRightInd w:val="0"/>
        <w:spacing w:line="36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ascii="宋体" w:hAnsi="宋体" w:cs="宋体"/>
          <w:color w:val="auto"/>
          <w:kern w:val="0"/>
          <w:sz w:val="24"/>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autoSpaceDE w:val="0"/>
        <w:autoSpaceDN w:val="0"/>
        <w:adjustRightInd w:val="0"/>
        <w:spacing w:line="360" w:lineRule="exact"/>
        <w:jc w:val="left"/>
        <w:rPr>
          <w:rFonts w:ascii="宋体" w:hAnsi="宋体" w:cs="宋体"/>
          <w:color w:val="auto"/>
          <w:kern w:val="0"/>
          <w:szCs w:val="21"/>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                         （签字）</w:t>
      </w:r>
    </w:p>
    <w:p>
      <w:pPr>
        <w:autoSpaceDE w:val="0"/>
        <w:autoSpaceDN w:val="0"/>
        <w:adjustRightInd w:val="0"/>
        <w:spacing w:line="360" w:lineRule="exact"/>
        <w:jc w:val="left"/>
        <w:rPr>
          <w:rFonts w:ascii="宋体" w:hAnsi="宋体" w:cs="宋体"/>
          <w:color w:val="auto"/>
          <w:kern w:val="0"/>
          <w:sz w:val="24"/>
          <w:highlight w:val="none"/>
        </w:rPr>
      </w:pPr>
    </w:p>
    <w:p>
      <w:pPr>
        <w:autoSpaceDE w:val="0"/>
        <w:autoSpaceDN w:val="0"/>
        <w:adjustRightInd w:val="0"/>
        <w:spacing w:line="36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w:t>
      </w:r>
    </w:p>
    <w:p>
      <w:pPr>
        <w:autoSpaceDE w:val="0"/>
        <w:autoSpaceDN w:val="0"/>
        <w:spacing w:line="360" w:lineRule="exact"/>
        <w:ind w:left="4365" w:leftChars="1850" w:hanging="480" w:hangingChars="200"/>
        <w:rPr>
          <w:rFonts w:ascii="宋体" w:hAnsi="宋体" w:cs="宋体"/>
          <w:color w:val="auto"/>
          <w:kern w:val="0"/>
          <w:sz w:val="24"/>
          <w:highlight w:val="none"/>
        </w:rPr>
      </w:pPr>
    </w:p>
    <w:p>
      <w:pPr>
        <w:autoSpaceDE w:val="0"/>
        <w:autoSpaceDN w:val="0"/>
        <w:spacing w:line="360" w:lineRule="exact"/>
        <w:ind w:firstLine="6120" w:firstLineChars="25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pPr>
        <w:autoSpaceDE w:val="0"/>
        <w:autoSpaceDN w:val="0"/>
        <w:spacing w:line="360" w:lineRule="auto"/>
        <w:ind w:firstLine="6120" w:firstLineChars="2550"/>
        <w:rPr>
          <w:rFonts w:ascii="仿宋_GB2312" w:hAnsi="仿宋" w:eastAsia="仿宋_GB2312" w:cs="仿宋_GB2312"/>
          <w:color w:val="auto"/>
          <w:kern w:val="0"/>
          <w:sz w:val="24"/>
          <w:highlight w:val="none"/>
          <w:lang w:val="zh-CN"/>
        </w:rPr>
      </w:pPr>
    </w:p>
    <w:p>
      <w:pPr>
        <w:pStyle w:val="4"/>
        <w:jc w:val="center"/>
        <w:rPr>
          <w:rFonts w:ascii="宋体" w:hAnsi="宋体"/>
          <w:b w:val="0"/>
          <w:color w:val="auto"/>
          <w:highlight w:val="none"/>
        </w:rPr>
      </w:pPr>
      <w:bookmarkStart w:id="141" w:name="_Toc15951"/>
      <w:bookmarkStart w:id="142" w:name="_Toc80205940"/>
      <w:bookmarkStart w:id="143" w:name="_Toc20562"/>
      <w:bookmarkStart w:id="144" w:name="_Toc80886944"/>
      <w:r>
        <w:rPr>
          <w:rFonts w:hint="eastAsia" w:ascii="宋体" w:hAnsi="宋体"/>
          <w:b w:val="0"/>
          <w:bCs w:val="0"/>
          <w:color w:val="auto"/>
          <w:highlight w:val="none"/>
        </w:rPr>
        <w:t xml:space="preserve">第二节 </w:t>
      </w:r>
      <w:r>
        <w:rPr>
          <w:rFonts w:hint="eastAsia" w:ascii="宋体" w:hAnsi="宋体"/>
          <w:b w:val="0"/>
          <w:color w:val="auto"/>
          <w:highlight w:val="none"/>
        </w:rPr>
        <w:t>商务技术文件格式</w:t>
      </w:r>
      <w:bookmarkEnd w:id="141"/>
      <w:bookmarkEnd w:id="142"/>
      <w:bookmarkEnd w:id="143"/>
      <w:bookmarkEnd w:id="144"/>
    </w:p>
    <w:p>
      <w:pPr>
        <w:snapToGrid w:val="0"/>
        <w:spacing w:before="120" w:beforeLines="50" w:after="50" w:line="360" w:lineRule="auto"/>
        <w:jc w:val="left"/>
        <w:rPr>
          <w:rFonts w:ascii="宋体" w:hAnsi="宋体"/>
          <w:b/>
          <w:color w:val="auto"/>
          <w:sz w:val="32"/>
          <w:szCs w:val="32"/>
          <w:highlight w:val="none"/>
        </w:rPr>
      </w:pPr>
      <w:r>
        <w:rPr>
          <w:rFonts w:hint="eastAsia" w:ascii="宋体" w:hAnsi="宋体"/>
          <w:b/>
          <w:color w:val="auto"/>
          <w:sz w:val="28"/>
          <w:szCs w:val="28"/>
          <w:highlight w:val="none"/>
        </w:rPr>
        <w:t>1.商务技术文件封面的格式</w:t>
      </w:r>
      <w:r>
        <w:rPr>
          <w:rFonts w:hint="eastAsia" w:ascii="宋体" w:hAnsi="宋体" w:cs="宋体"/>
          <w:b/>
          <w:color w:val="auto"/>
          <w:sz w:val="28"/>
          <w:szCs w:val="28"/>
          <w:highlight w:val="none"/>
        </w:rPr>
        <w:t>（参照此格式自拟）</w:t>
      </w:r>
      <w:r>
        <w:rPr>
          <w:rFonts w:hint="eastAsia" w:ascii="宋体" w:hAnsi="宋体"/>
          <w:b/>
          <w:color w:val="auto"/>
          <w:sz w:val="28"/>
          <w:szCs w:val="28"/>
          <w:highlight w:val="none"/>
        </w:rPr>
        <w:t>：</w:t>
      </w:r>
    </w:p>
    <w:p>
      <w:pPr>
        <w:snapToGrid w:val="0"/>
        <w:spacing w:before="120" w:beforeLines="50" w:after="50"/>
        <w:rPr>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商  务  技  术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cs="仿宋_GB2312"/>
          <w:bCs/>
          <w:color w:val="auto"/>
          <w:sz w:val="32"/>
          <w:szCs w:val="32"/>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cs="仿宋_GB2312"/>
          <w:bCs/>
          <w:color w:val="auto"/>
          <w:sz w:val="32"/>
          <w:szCs w:val="32"/>
          <w:highlight w:val="none"/>
        </w:rPr>
      </w:pPr>
    </w:p>
    <w:p>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1280" w:firstLineChars="400"/>
        <w:rPr>
          <w:rFonts w:cs="仿宋_GB2312"/>
          <w:bCs/>
          <w:color w:val="auto"/>
          <w:sz w:val="32"/>
          <w:szCs w:val="32"/>
          <w:highlight w:val="none"/>
        </w:rPr>
      </w:pPr>
    </w:p>
    <w:p>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ind w:left="142" w:firstLine="642" w:firstLineChars="200"/>
        <w:jc w:val="left"/>
        <w:rPr>
          <w:b/>
          <w:bCs/>
          <w:color w:val="auto"/>
          <w:sz w:val="32"/>
          <w:szCs w:val="32"/>
          <w:highlight w:val="none"/>
        </w:rPr>
        <w:sectPr>
          <w:pgSz w:w="11911" w:h="16838"/>
          <w:pgMar w:top="1134" w:right="1134" w:bottom="1134" w:left="1134" w:header="720" w:footer="720" w:gutter="0"/>
          <w:cols w:space="720" w:num="1"/>
        </w:sectPr>
      </w:pPr>
    </w:p>
    <w:p>
      <w:pPr>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2.商务技术文件目录</w:t>
      </w:r>
    </w:p>
    <w:p>
      <w:pPr>
        <w:spacing w:line="400" w:lineRule="exact"/>
        <w:rPr>
          <w:rFonts w:ascii="仿宋_GB2312" w:hAnsi="仿宋_GB2312" w:eastAsia="仿宋_GB2312" w:cs="仿宋_GB2312"/>
          <w:color w:val="auto"/>
          <w:sz w:val="32"/>
          <w:szCs w:val="32"/>
          <w:highlight w:val="none"/>
        </w:rPr>
      </w:pPr>
      <w:r>
        <w:rPr>
          <w:rFonts w:hint="eastAsia" w:ascii="宋体" w:hAnsi="宋体" w:cs="宋体"/>
          <w:color w:val="auto"/>
          <w:kern w:val="0"/>
          <w:sz w:val="24"/>
          <w:highlight w:val="none"/>
        </w:rPr>
        <w:t xml:space="preserve">  根据竞争性磋商文件规定及供应商提供的材料自行编写目录（部分格式后附）。</w:t>
      </w:r>
    </w:p>
    <w:p>
      <w:pPr>
        <w:spacing w:line="520" w:lineRule="exact"/>
        <w:jc w:val="left"/>
        <w:rPr>
          <w:rFonts w:ascii="宋体" w:hAnsi="宋体" w:cs="宋体"/>
          <w:color w:val="auto"/>
          <w:sz w:val="28"/>
          <w:szCs w:val="28"/>
          <w:highlight w:val="none"/>
        </w:rPr>
      </w:pPr>
      <w:r>
        <w:rPr>
          <w:rFonts w:hint="eastAsia" w:ascii="仿宋" w:hAnsi="仿宋" w:eastAsia="仿宋" w:cs="仿宋"/>
          <w:color w:val="auto"/>
          <w:sz w:val="44"/>
          <w:szCs w:val="44"/>
          <w:highlight w:val="none"/>
        </w:rPr>
        <w:br w:type="page"/>
      </w:r>
      <w:r>
        <w:rPr>
          <w:rFonts w:hint="eastAsia" w:ascii="宋体" w:hAnsi="宋体" w:cs="宋体"/>
          <w:b/>
          <w:color w:val="auto"/>
          <w:sz w:val="28"/>
          <w:szCs w:val="28"/>
          <w:highlight w:val="none"/>
        </w:rPr>
        <w:t>3.无串通竞标行为的承诺函的格式：</w:t>
      </w:r>
    </w:p>
    <w:p>
      <w:pPr>
        <w:spacing w:line="520" w:lineRule="exact"/>
        <w:jc w:val="center"/>
        <w:rPr>
          <w:rFonts w:ascii="仿宋" w:hAnsi="仿宋" w:eastAsia="仿宋" w:cs="仿宋"/>
          <w:color w:val="auto"/>
          <w:sz w:val="44"/>
          <w:szCs w:val="44"/>
          <w:highlight w:val="none"/>
        </w:rPr>
      </w:pPr>
    </w:p>
    <w:p>
      <w:pPr>
        <w:spacing w:line="52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无串通竞标行为的承诺函</w:t>
      </w:r>
    </w:p>
    <w:p>
      <w:pPr>
        <w:spacing w:line="520" w:lineRule="exact"/>
        <w:ind w:firstLine="640" w:firstLineChars="200"/>
        <w:rPr>
          <w:rFonts w:ascii="仿宋_GB2312" w:hAnsi="仿宋_GB2312" w:eastAsia="仿宋_GB2312" w:cs="仿宋_GB2312"/>
          <w:color w:val="auto"/>
          <w:sz w:val="32"/>
          <w:szCs w:val="32"/>
          <w:highlight w:val="none"/>
        </w:rPr>
      </w:pPr>
    </w:p>
    <w:p>
      <w:pPr>
        <w:spacing w:line="360" w:lineRule="auto"/>
        <w:ind w:firstLine="481"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1.不同供应商的响应文件由同一单位或者个人编制；或不同供应商报名的IP地址一致的；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5.不同供应商的响应文件相互混装；</w:t>
      </w:r>
    </w:p>
    <w:p>
      <w:pPr>
        <w:pStyle w:val="2"/>
        <w:ind w:firstLine="480" w:firstLineChars="200"/>
        <w:rPr>
          <w:rFonts w:ascii="宋体" w:hAnsi="宋体" w:cs="宋体"/>
          <w:color w:val="auto"/>
          <w:highlight w:val="none"/>
        </w:rPr>
      </w:pPr>
      <w:r>
        <w:rPr>
          <w:rFonts w:hint="eastAsia" w:ascii="宋体" w:hAnsi="宋体" w:cs="宋体"/>
          <w:color w:val="auto"/>
          <w:sz w:val="24"/>
          <w:highlight w:val="none"/>
        </w:rPr>
        <w:t>6.不同供应商的磋商保证金从同一单位或者个人账户转出。</w:t>
      </w:r>
    </w:p>
    <w:p>
      <w:pPr>
        <w:spacing w:line="360" w:lineRule="auto"/>
        <w:ind w:firstLine="481"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ascii="宋体" w:hAnsi="宋体" w:cs="宋体"/>
          <w:color w:val="auto"/>
          <w:sz w:val="24"/>
          <w:highlight w:val="none"/>
        </w:rPr>
      </w:pPr>
    </w:p>
    <w:p>
      <w:pPr>
        <w:spacing w:line="360" w:lineRule="auto"/>
        <w:ind w:firstLine="481" w:firstLineChars="200"/>
        <w:contextualSpacing/>
        <w:rPr>
          <w:rFonts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pPr>
        <w:pStyle w:val="22"/>
        <w:rPr>
          <w:rFonts w:ascii="宋体" w:hAnsi="宋体" w:cs="宋体"/>
          <w:b/>
          <w:bCs/>
          <w:color w:val="auto"/>
          <w:sz w:val="24"/>
          <w:highlight w:val="none"/>
        </w:rPr>
      </w:pPr>
    </w:p>
    <w:p>
      <w:pPr>
        <w:pStyle w:val="22"/>
        <w:rPr>
          <w:rFonts w:ascii="宋体" w:hAnsi="宋体" w:cs="宋体"/>
          <w:b/>
          <w:bCs/>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480" w:lineRule="auto"/>
        <w:ind w:firstLine="5040" w:firstLineChars="2100"/>
        <w:jc w:val="left"/>
        <w:rPr>
          <w:rFonts w:ascii="宋体" w:hAnsi="宋体" w:cs="宋体"/>
          <w:b/>
          <w:bCs/>
          <w:color w:val="auto"/>
          <w:sz w:val="28"/>
          <w:szCs w:val="28"/>
          <w:highlight w:val="none"/>
        </w:rPr>
      </w:pPr>
      <w:r>
        <w:rPr>
          <w:rFonts w:hint="eastAsia" w:ascii="宋体" w:hAnsi="宋体" w:cs="宋体"/>
          <w:color w:val="auto"/>
          <w:kern w:val="0"/>
          <w:sz w:val="24"/>
          <w:highlight w:val="none"/>
          <w:lang w:val="zh-CN"/>
        </w:rPr>
        <w:t xml:space="preserve">日期：  年  月   日   </w:t>
      </w:r>
      <w:r>
        <w:rPr>
          <w:b/>
          <w:bCs/>
          <w:color w:val="auto"/>
          <w:sz w:val="32"/>
          <w:szCs w:val="32"/>
          <w:highlight w:val="none"/>
        </w:rPr>
        <w:br w:type="page"/>
      </w:r>
      <w:r>
        <w:rPr>
          <w:rFonts w:hint="eastAsia" w:ascii="宋体" w:hAnsi="宋体" w:cs="宋体"/>
          <w:b/>
          <w:bCs/>
          <w:color w:val="auto"/>
          <w:sz w:val="28"/>
          <w:szCs w:val="28"/>
          <w:highlight w:val="none"/>
        </w:rPr>
        <w:t>4.法定代表人身份证明的格式：</w:t>
      </w:r>
    </w:p>
    <w:p>
      <w:pPr>
        <w:spacing w:line="520" w:lineRule="exact"/>
        <w:jc w:val="center"/>
        <w:rPr>
          <w:rFonts w:ascii="仿宋_GB2312" w:hAnsi="仿宋_GB2312" w:eastAsia="仿宋_GB2312" w:cs="仿宋_GB2312"/>
          <w:color w:val="auto"/>
          <w:sz w:val="32"/>
          <w:szCs w:val="32"/>
          <w:highlight w:val="none"/>
        </w:rPr>
      </w:pPr>
      <w:r>
        <w:rPr>
          <w:rFonts w:hint="eastAsia" w:ascii="宋体" w:hAnsi="宋体" w:cs="宋体"/>
          <w:bCs/>
          <w:color w:val="auto"/>
          <w:sz w:val="32"/>
          <w:szCs w:val="32"/>
          <w:highlight w:val="none"/>
        </w:rPr>
        <w:t>法定代表人身份证明</w:t>
      </w:r>
    </w:p>
    <w:p>
      <w:pPr>
        <w:spacing w:line="360" w:lineRule="auto"/>
        <w:ind w:left="540"/>
        <w:contextualSpacing/>
        <w:rPr>
          <w:rFonts w:ascii="仿宋_GB2312" w:hAnsi="仿宋_GB2312" w:eastAsia="仿宋_GB2312" w:cs="仿宋_GB2312"/>
          <w:color w:val="auto"/>
          <w:sz w:val="32"/>
          <w:szCs w:val="32"/>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特此证明。</w:t>
      </w: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p>
    <w:p>
      <w:pPr>
        <w:spacing w:line="360" w:lineRule="auto"/>
        <w:ind w:left="540"/>
        <w:contextualSpacing/>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pPr>
        <w:spacing w:line="360" w:lineRule="auto"/>
        <w:ind w:left="540"/>
        <w:contextualSpacing/>
        <w:rPr>
          <w:rFonts w:ascii="宋体" w:hAnsi="宋体" w:cs="宋体"/>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contextualSpacing/>
        <w:jc w:val="left"/>
        <w:rPr>
          <w:rFonts w:ascii="宋体" w:hAnsi="宋体" w:cs="宋体"/>
          <w:color w:val="auto"/>
          <w:sz w:val="24"/>
          <w:highlight w:val="none"/>
        </w:rPr>
      </w:pPr>
    </w:p>
    <w:p>
      <w:pPr>
        <w:spacing w:line="360" w:lineRule="auto"/>
        <w:contextualSpacing/>
        <w:jc w:val="left"/>
        <w:rPr>
          <w:rFonts w:ascii="宋体" w:hAnsi="宋体" w:cs="宋体"/>
          <w:color w:val="auto"/>
          <w:sz w:val="24"/>
          <w:highlight w:val="none"/>
        </w:rPr>
      </w:pP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contextualSpacing/>
        <w:jc w:val="left"/>
        <w:rPr>
          <w:rFonts w:ascii="宋体" w:hAnsi="宋体" w:cs="宋体"/>
          <w:color w:val="auto"/>
          <w:szCs w:val="21"/>
          <w:highlight w:val="none"/>
        </w:rPr>
      </w:pPr>
      <w:r>
        <w:rPr>
          <w:rFonts w:hint="eastAsia" w:ascii="宋体" w:hAnsi="宋体" w:cs="宋体"/>
          <w:color w:val="auto"/>
          <w:szCs w:val="21"/>
          <w:highlight w:val="none"/>
        </w:rPr>
        <w:t>1.自然人竞标的无需提供，联合体竞标的只需牵头人出具。</w:t>
      </w:r>
    </w:p>
    <w:p>
      <w:pPr>
        <w:spacing w:line="360" w:lineRule="auto"/>
        <w:ind w:firstLine="420" w:firstLineChars="200"/>
        <w:contextualSpacing/>
        <w:jc w:val="left"/>
        <w:rPr>
          <w:rFonts w:ascii="宋体" w:hAnsi="宋体" w:cs="宋体"/>
          <w:color w:val="auto"/>
          <w:szCs w:val="21"/>
          <w:highlight w:val="none"/>
        </w:rPr>
        <w:sectPr>
          <w:pgSz w:w="11911" w:h="16838"/>
          <w:pgMar w:top="1134" w:right="1134" w:bottom="1134" w:left="1134" w:header="720" w:footer="720" w:gutter="0"/>
          <w:cols w:space="720" w:num="1"/>
        </w:sect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1" w:firstLineChars="200"/>
        <w:contextualSpacing/>
        <w:jc w:val="left"/>
        <w:rPr>
          <w:rFonts w:ascii="仿宋_GB2312" w:hAnsi="仿宋_GB2312" w:eastAsia="仿宋_GB2312" w:cs="仿宋_GB2312"/>
          <w:b/>
          <w:color w:val="auto"/>
          <w:sz w:val="32"/>
          <w:szCs w:val="32"/>
          <w:highlight w:val="none"/>
        </w:rPr>
      </w:pPr>
      <w:r>
        <w:rPr>
          <w:rFonts w:hint="eastAsia" w:ascii="Calibri"/>
          <w:b/>
          <w:color w:val="auto"/>
          <w:sz w:val="24"/>
          <w:highlight w:val="none"/>
        </w:rPr>
        <w:t>附件：</w:t>
      </w:r>
    </w:p>
    <w:tbl>
      <w:tblPr>
        <w:tblStyle w:val="31"/>
        <w:tblW w:w="8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2" w:hRule="atLeast"/>
          <w:jc w:val="center"/>
        </w:trPr>
        <w:tc>
          <w:tcPr>
            <w:tcW w:w="8461" w:type="dxa"/>
          </w:tcPr>
          <w:p>
            <w:pPr>
              <w:spacing w:line="360" w:lineRule="auto"/>
              <w:rPr>
                <w:rFonts w:hAnsi="Calibri"/>
                <w:b/>
                <w:color w:val="auto"/>
                <w:sz w:val="24"/>
                <w:highlight w:val="none"/>
              </w:rPr>
            </w:pPr>
          </w:p>
          <w:p>
            <w:pPr>
              <w:spacing w:line="360" w:lineRule="auto"/>
              <w:rPr>
                <w:rFonts w:hAnsi="Calibri"/>
                <w:b/>
                <w:color w:val="auto"/>
                <w:sz w:val="24"/>
                <w:highlight w:val="none"/>
              </w:rPr>
            </w:pPr>
            <w:r>
              <w:rPr>
                <w:rFonts w:hint="eastAsia" w:hAnsi="Calibri"/>
                <w:b/>
                <w:color w:val="auto"/>
                <w:sz w:val="24"/>
                <w:highlight w:val="none"/>
              </w:rPr>
              <w:t>法定代表人身份证复印件粘贴处（正、反面）</w:t>
            </w:r>
          </w:p>
        </w:tc>
      </w:tr>
    </w:tbl>
    <w:p>
      <w:pPr>
        <w:adjustRightInd w:val="0"/>
        <w:snapToGrid w:val="0"/>
        <w:spacing w:line="300" w:lineRule="auto"/>
        <w:jc w:val="left"/>
        <w:rPr>
          <w:b/>
          <w:color w:val="auto"/>
          <w:szCs w:val="21"/>
          <w:highlight w:val="none"/>
        </w:rPr>
      </w:pPr>
    </w:p>
    <w:p>
      <w:pPr>
        <w:spacing w:line="520" w:lineRule="exact"/>
        <w:ind w:firstLine="880"/>
        <w:jc w:val="left"/>
        <w:rPr>
          <w:rFonts w:ascii="宋体" w:hAnsi="宋体" w:cs="宋体"/>
          <w:color w:val="auto"/>
          <w:szCs w:val="21"/>
          <w:highlight w:val="none"/>
        </w:rPr>
      </w:pPr>
    </w:p>
    <w:p>
      <w:pPr>
        <w:spacing w:line="520" w:lineRule="exact"/>
        <w:jc w:val="left"/>
        <w:rPr>
          <w:rFonts w:ascii="仿宋" w:hAnsi="仿宋" w:eastAsia="仿宋" w:cs="仿宋"/>
          <w:bCs/>
          <w:color w:val="auto"/>
          <w:sz w:val="44"/>
          <w:szCs w:val="44"/>
          <w:highlight w:val="none"/>
        </w:rPr>
      </w:pPr>
      <w:r>
        <w:rPr>
          <w:rFonts w:hint="eastAsia" w:ascii="仿宋" w:hAnsi="仿宋" w:eastAsia="仿宋" w:cs="仿宋"/>
          <w:color w:val="auto"/>
          <w:sz w:val="44"/>
          <w:szCs w:val="44"/>
          <w:highlight w:val="none"/>
        </w:rPr>
        <w:br w:type="page"/>
      </w:r>
      <w:r>
        <w:rPr>
          <w:rFonts w:hint="eastAsia" w:ascii="宋体" w:hAnsi="宋体" w:cs="宋体"/>
          <w:b/>
          <w:bCs/>
          <w:color w:val="auto"/>
          <w:sz w:val="28"/>
          <w:szCs w:val="28"/>
          <w:highlight w:val="none"/>
        </w:rPr>
        <w:t>5.法定代表人授权委托书的格式：</w:t>
      </w:r>
    </w:p>
    <w:p>
      <w:pPr>
        <w:spacing w:line="500" w:lineRule="exact"/>
        <w:jc w:val="center"/>
        <w:rPr>
          <w:rFonts w:ascii="仿宋" w:hAnsi="仿宋" w:eastAsia="仿宋" w:cs="仿宋"/>
          <w:color w:val="auto"/>
          <w:sz w:val="44"/>
          <w:szCs w:val="44"/>
          <w:highlight w:val="none"/>
        </w:rPr>
      </w:pP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授权委托书（非联合体竞标格式）</w:t>
      </w:r>
    </w:p>
    <w:p>
      <w:pPr>
        <w:spacing w:line="52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（如有委托时）</w:t>
      </w:r>
    </w:p>
    <w:p>
      <w:pPr>
        <w:spacing w:line="520" w:lineRule="exact"/>
        <w:rPr>
          <w:rFonts w:ascii="仿宋_GB2312" w:hAnsi="仿宋_GB2312" w:eastAsia="仿宋_GB2312" w:cs="仿宋_GB2312"/>
          <w:color w:val="auto"/>
          <w:sz w:val="32"/>
          <w:szCs w:val="32"/>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以我方的名义参加</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附：委托代理人有效身份证正反面复印件</w:t>
      </w:r>
    </w:p>
    <w:p>
      <w:pPr>
        <w:spacing w:line="360" w:lineRule="auto"/>
        <w:rPr>
          <w:rFonts w:ascii="宋体" w:hAnsi="宋体" w:cs="宋体"/>
          <w:color w:val="auto"/>
          <w:sz w:val="24"/>
          <w:highlight w:val="none"/>
        </w:rPr>
      </w:pP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委托代理人（签字）：         法定代表人（签字）：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委托代理人身份证号码：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供应商名称（盖公章）：</w:t>
      </w:r>
    </w:p>
    <w:p>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pacing w:line="360" w:lineRule="auto"/>
        <w:rPr>
          <w:rFonts w:ascii="宋体" w:hAnsi="宋体" w:cs="宋体"/>
          <w:color w:val="auto"/>
          <w:sz w:val="24"/>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 法人、其他组织竞标时“我方”是指“我单位”，自然人竞标时“我方”是指“本人”。</w:t>
      </w:r>
    </w:p>
    <w:p>
      <w:pPr>
        <w:spacing w:line="500" w:lineRule="exact"/>
        <w:jc w:val="center"/>
        <w:rPr>
          <w:rFonts w:ascii="宋体" w:hAnsi="宋体" w:cs="宋体"/>
          <w:b/>
          <w:bCs/>
          <w:color w:val="auto"/>
          <w:sz w:val="32"/>
          <w:szCs w:val="32"/>
          <w:highlight w:val="none"/>
        </w:rPr>
      </w:pPr>
      <w:r>
        <w:rPr>
          <w:rFonts w:ascii="仿宋_GB2312" w:hAnsi="仿宋_GB2312" w:eastAsia="仿宋_GB2312" w:cs="仿宋_GB2312"/>
          <w:color w:val="auto"/>
          <w:szCs w:val="21"/>
          <w:highlight w:val="none"/>
        </w:rPr>
        <w:br w:type="page"/>
      </w:r>
      <w:r>
        <w:rPr>
          <w:rFonts w:hint="eastAsia" w:ascii="宋体" w:hAnsi="宋体" w:cs="宋体"/>
          <w:b/>
          <w:bCs/>
          <w:color w:val="auto"/>
          <w:sz w:val="32"/>
          <w:szCs w:val="32"/>
          <w:highlight w:val="none"/>
        </w:rPr>
        <w:t>授权委托书（联合体竞标格式）</w:t>
      </w:r>
    </w:p>
    <w:p>
      <w:pPr>
        <w:spacing w:line="5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（如有委托时）</w:t>
      </w:r>
    </w:p>
    <w:p>
      <w:pPr>
        <w:spacing w:line="500" w:lineRule="exact"/>
        <w:jc w:val="center"/>
        <w:rPr>
          <w:rFonts w:ascii="仿宋" w:hAnsi="仿宋" w:eastAsia="仿宋" w:cs="仿宋"/>
          <w:color w:val="auto"/>
          <w:sz w:val="44"/>
          <w:szCs w:val="44"/>
          <w:highlight w:val="none"/>
        </w:rPr>
      </w:pPr>
    </w:p>
    <w:p>
      <w:pPr>
        <w:spacing w:line="500" w:lineRule="exact"/>
        <w:jc w:val="center"/>
        <w:rPr>
          <w:rFonts w:ascii="仿宋_GB2312" w:hAnsi="仿宋_GB2312" w:eastAsia="仿宋_GB2312" w:cs="仿宋_GB2312"/>
          <w:color w:val="auto"/>
          <w:sz w:val="32"/>
          <w:szCs w:val="32"/>
          <w:highlight w:val="none"/>
        </w:rPr>
      </w:pP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本授权委托书声明：根据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（联合体其他成员名称）签订的《联合体竞标协议书》的内容，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（牵头人名称）的法定代表人</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（姓名）</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 xml:space="preserve"> （姓名）</w:t>
      </w:r>
      <w:r>
        <w:rPr>
          <w:rFonts w:hint="eastAsia" w:ascii="宋体" w:hAnsi="宋体" w:cs="宋体"/>
          <w:color w:val="auto"/>
          <w:sz w:val="24"/>
          <w:highlight w:val="none"/>
        </w:rPr>
        <w:t>为联合委托代理人，并代表我方全权办理针对上述项目的所有采购程序和环节的具体事务和签署相关文件。</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我方对委托代理人的签字事项负全部责任。</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pPr>
        <w:spacing w:line="360" w:lineRule="auto"/>
        <w:ind w:firstLine="1560" w:firstLineChars="650"/>
        <w:rPr>
          <w:rFonts w:ascii="宋体" w:hAnsi="宋体" w:cs="宋体"/>
          <w:color w:val="auto"/>
          <w:sz w:val="24"/>
          <w:highlight w:val="none"/>
        </w:rPr>
      </w:pPr>
      <w:r>
        <w:rPr>
          <w:rFonts w:hint="eastAsia" w:ascii="宋体" w:hAnsi="宋体" w:cs="宋体"/>
          <w:color w:val="auto"/>
          <w:sz w:val="24"/>
          <w:highlight w:val="none"/>
        </w:rPr>
        <w:t>牵头人法定代表人（签字）：</w:t>
      </w: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牵头人名称（盖公章）：</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3120" w:firstLineChars="1300"/>
        <w:rPr>
          <w:rFonts w:ascii="宋体" w:hAnsi="宋体" w:cs="宋体"/>
          <w:color w:val="auto"/>
          <w:sz w:val="24"/>
          <w:highlight w:val="none"/>
        </w:rPr>
      </w:pPr>
      <w:r>
        <w:rPr>
          <w:rFonts w:hint="eastAsia" w:ascii="宋体" w:hAnsi="宋体" w:cs="宋体"/>
          <w:color w:val="auto"/>
          <w:sz w:val="24"/>
          <w:highlight w:val="none"/>
        </w:rPr>
        <w:t>委托代理人（签字）：</w:t>
      </w:r>
    </w:p>
    <w:p>
      <w:pPr>
        <w:spacing w:line="360" w:lineRule="auto"/>
        <w:ind w:firstLine="3840" w:firstLineChars="1600"/>
        <w:rPr>
          <w:rFonts w:ascii="宋体" w:hAnsi="宋体" w:cs="宋体"/>
          <w:color w:val="auto"/>
          <w:sz w:val="24"/>
          <w:highlight w:val="none"/>
        </w:rPr>
      </w:pPr>
      <w:r>
        <w:rPr>
          <w:rFonts w:hint="eastAsia" w:ascii="宋体" w:hAnsi="宋体" w:cs="宋体"/>
          <w:color w:val="auto"/>
          <w:sz w:val="24"/>
          <w:highlight w:val="none"/>
        </w:rPr>
        <w:t>日期：    年   月   日</w:t>
      </w:r>
    </w:p>
    <w:p>
      <w:pPr>
        <w:spacing w:line="360" w:lineRule="auto"/>
        <w:rPr>
          <w:rFonts w:ascii="宋体" w:hAnsi="宋体" w:cs="宋体"/>
          <w:color w:val="auto"/>
          <w:sz w:val="24"/>
          <w:highlight w:val="none"/>
        </w:rPr>
      </w:pP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法定代表人和委托代理人必须在授权委托书上签字，</w:t>
      </w:r>
      <w:r>
        <w:rPr>
          <w:rFonts w:hint="eastAsia" w:ascii="宋体" w:hAnsi="宋体" w:cs="宋体"/>
          <w:b/>
          <w:color w:val="auto"/>
          <w:szCs w:val="21"/>
          <w:highlight w:val="none"/>
        </w:rPr>
        <w:t>否则其响应文件按无效响应处理。</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2.本授权委托书应由联合体牵头人的法定代表人按上述规定签署。</w:t>
      </w:r>
    </w:p>
    <w:p>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20" w:firstLineChars="200"/>
        <w:jc w:val="left"/>
        <w:rPr>
          <w:rFonts w:ascii="宋体" w:hAnsi="宋体" w:cs="宋体"/>
          <w:color w:val="auto"/>
          <w:sz w:val="24"/>
          <w:highlight w:val="none"/>
        </w:rPr>
      </w:pPr>
      <w:r>
        <w:rPr>
          <w:rFonts w:hint="eastAsia" w:ascii="宋体" w:hAnsi="宋体" w:cs="宋体"/>
          <w:color w:val="auto"/>
          <w:szCs w:val="21"/>
          <w:highlight w:val="none"/>
        </w:rPr>
        <w:t>4.法人、其他组织竞标时“我方”是指“我单位”，自然人竞标时“我方”是指“本人”。</w:t>
      </w:r>
    </w:p>
    <w:p>
      <w:pPr>
        <w:spacing w:line="360" w:lineRule="auto"/>
        <w:ind w:firstLine="420" w:firstLineChars="200"/>
        <w:jc w:val="left"/>
        <w:rPr>
          <w:rFonts w:ascii="仿宋_GB2312" w:hAnsi="仿宋_GB2312" w:eastAsia="仿宋_GB2312" w:cs="仿宋_GB2312"/>
          <w:color w:val="auto"/>
          <w:szCs w:val="21"/>
          <w:highlight w:val="none"/>
        </w:rPr>
      </w:pPr>
    </w:p>
    <w:p>
      <w:pPr>
        <w:widowControl/>
        <w:shd w:val="clear" w:color="auto" w:fill="FFFFFF"/>
        <w:spacing w:line="480" w:lineRule="atLeast"/>
        <w:rPr>
          <w:rFonts w:ascii="宋体" w:hAnsi="宋体" w:cs="宋体"/>
          <w:color w:val="auto"/>
          <w:sz w:val="24"/>
          <w:highlight w:val="none"/>
        </w:rPr>
      </w:pPr>
      <w:r>
        <w:rPr>
          <w:rFonts w:hint="eastAsia" w:ascii="仿宋_GB2312" w:hAnsi="仿宋_GB2312" w:eastAsia="仿宋_GB2312" w:cs="仿宋_GB2312"/>
          <w:color w:val="auto"/>
          <w:sz w:val="32"/>
          <w:szCs w:val="32"/>
          <w:highlight w:val="none"/>
        </w:rPr>
        <w:br w:type="page"/>
      </w:r>
      <w:r>
        <w:rPr>
          <w:rFonts w:hint="eastAsia" w:hAnsi="宋体" w:cs="宋体"/>
          <w:b/>
          <w:color w:val="auto"/>
          <w:sz w:val="28"/>
          <w:szCs w:val="28"/>
          <w:highlight w:val="none"/>
        </w:rPr>
        <w:t xml:space="preserve">5、供应商认为有必要提供的其他文件 </w:t>
      </w:r>
    </w:p>
    <w:p>
      <w:pPr>
        <w:shd w:val="clear" w:color="auto" w:fill="FFFFFF"/>
        <w:spacing w:line="520" w:lineRule="exact"/>
        <w:jc w:val="center"/>
        <w:rPr>
          <w:color w:val="auto"/>
          <w:sz w:val="24"/>
          <w:highlight w:val="none"/>
        </w:rPr>
      </w:pPr>
    </w:p>
    <w:p>
      <w:pPr>
        <w:spacing w:line="520" w:lineRule="exact"/>
        <w:jc w:val="center"/>
        <w:rPr>
          <w:color w:val="auto"/>
          <w:sz w:val="24"/>
          <w:highlight w:val="none"/>
        </w:rPr>
      </w:pPr>
    </w:p>
    <w:p>
      <w:pPr>
        <w:spacing w:line="520" w:lineRule="exact"/>
        <w:jc w:val="left"/>
        <w:rPr>
          <w:rFonts w:ascii="仿宋_GB2312" w:hAnsi="仿宋_GB2312" w:eastAsia="仿宋_GB2312" w:cs="仿宋_GB2312"/>
          <w:color w:val="auto"/>
          <w:sz w:val="32"/>
          <w:szCs w:val="32"/>
          <w:highlight w:val="none"/>
        </w:rPr>
      </w:pPr>
    </w:p>
    <w:p>
      <w:pPr>
        <w:spacing w:line="520" w:lineRule="exact"/>
        <w:jc w:val="left"/>
        <w:rPr>
          <w:rFonts w:ascii="仿宋" w:hAnsi="仿宋" w:eastAsia="仿宋" w:cs="仿宋_GB2312"/>
          <w:b/>
          <w:color w:val="auto"/>
          <w:sz w:val="30"/>
          <w:szCs w:val="30"/>
          <w:highlight w:val="none"/>
        </w:rPr>
      </w:pPr>
      <w:r>
        <w:rPr>
          <w:rFonts w:hint="eastAsia" w:ascii="仿宋_GB2312" w:hAnsi="仿宋_GB2312" w:eastAsia="仿宋_GB2312" w:cs="仿宋_GB2312"/>
          <w:color w:val="auto"/>
          <w:sz w:val="32"/>
          <w:szCs w:val="32"/>
          <w:highlight w:val="none"/>
        </w:rPr>
        <w:br w:type="page"/>
      </w:r>
      <w:r>
        <w:rPr>
          <w:rFonts w:hint="eastAsia" w:ascii="宋体" w:hAnsi="宋体" w:cs="宋体"/>
          <w:b/>
          <w:color w:val="auto"/>
          <w:sz w:val="28"/>
          <w:szCs w:val="28"/>
          <w:highlight w:val="none"/>
        </w:rPr>
        <w:t>6.商务条款偏离表的格式：</w:t>
      </w:r>
    </w:p>
    <w:p>
      <w:pPr>
        <w:pStyle w:val="22"/>
        <w:rPr>
          <w:color w:val="auto"/>
          <w:highlight w:val="none"/>
        </w:rPr>
      </w:pP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pPr>
        <w:spacing w:line="520" w:lineRule="exact"/>
        <w:rPr>
          <w:rFonts w:ascii="宋体" w:hAnsi="宋体" w:cs="宋体"/>
          <w:color w:val="auto"/>
          <w:sz w:val="32"/>
          <w:szCs w:val="32"/>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691"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竞争性磋商文件的商务条款</w:t>
            </w:r>
          </w:p>
        </w:tc>
        <w:tc>
          <w:tcPr>
            <w:tcW w:w="3589"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响应文件响应的商务条款</w:t>
            </w:r>
          </w:p>
        </w:tc>
        <w:tc>
          <w:tcPr>
            <w:tcW w:w="1274"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3589" w:type="dxa"/>
            <w:tcBorders>
              <w:top w:val="single" w:color="auto" w:sz="4" w:space="0"/>
              <w:left w:val="single" w:color="auto" w:sz="4" w:space="0"/>
              <w:bottom w:val="single" w:color="auto" w:sz="4" w:space="0"/>
              <w:right w:val="single" w:color="auto" w:sz="4" w:space="0"/>
            </w:tcBorders>
          </w:tcPr>
          <w:p>
            <w:pPr>
              <w:spacing w:line="340" w:lineRule="exact"/>
              <w:rPr>
                <w:rFonts w:ascii="宋体" w:hAnsi="宋体" w:cs="宋体"/>
                <w:color w:val="auto"/>
                <w:szCs w:val="21"/>
                <w:highlight w:val="none"/>
              </w:rPr>
            </w:pPr>
          </w:p>
        </w:tc>
        <w:tc>
          <w:tcPr>
            <w:tcW w:w="1274" w:type="dxa"/>
            <w:tcBorders>
              <w:top w:val="single" w:color="auto" w:sz="4" w:space="0"/>
              <w:left w:val="single" w:color="auto" w:sz="4" w:space="0"/>
              <w:bottom w:val="single" w:color="auto" w:sz="4" w:space="0"/>
              <w:right w:val="single" w:color="auto" w:sz="4" w:space="0"/>
            </w:tcBorders>
          </w:tcPr>
          <w:p>
            <w:pPr>
              <w:spacing w:line="300" w:lineRule="exact"/>
              <w:rPr>
                <w:rFonts w:ascii="宋体" w:hAnsi="宋体" w:cs="宋体"/>
                <w:color w:val="auto"/>
                <w:szCs w:val="21"/>
                <w:highlight w:val="none"/>
              </w:rPr>
            </w:pPr>
          </w:p>
        </w:tc>
      </w:tr>
    </w:tbl>
    <w:p>
      <w:pPr>
        <w:pStyle w:val="16"/>
        <w:spacing w:line="400" w:lineRule="exact"/>
        <w:ind w:firstLine="0" w:firstLineChars="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6"/>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1.应对照磋商文件“第二章 采购需求”中的商务条款逐条作出明确响应，并作出偏离说明。</w:t>
      </w:r>
    </w:p>
    <w:p>
      <w:pPr>
        <w:pStyle w:val="16"/>
        <w:spacing w:line="400" w:lineRule="exact"/>
        <w:ind w:firstLine="480" w:firstLineChars="200"/>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2.供应商应根据自身的承诺，对照磋商文件要求，在“偏离说明”中注明“正偏离”或者“负偏离”或者“无偏离”。既不属于“正偏离”也不属于“负偏离”即为“无偏离”。 当响应文件的商务内容低于竞争性磋商文件要求时，供应商应当如实写明“负偏离”。</w:t>
      </w:r>
    </w:p>
    <w:p>
      <w:pPr>
        <w:spacing w:line="40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w:t>
      </w:r>
      <w:r>
        <w:rPr>
          <w:rFonts w:hint="eastAsia" w:ascii="宋体" w:hAnsi="宋体" w:cs="宋体"/>
          <w:b/>
          <w:bCs/>
          <w:color w:val="auto"/>
          <w:kern w:val="0"/>
          <w:sz w:val="24"/>
          <w:highlight w:val="none"/>
        </w:rPr>
        <w:t>否则按竞标无效处理。</w:t>
      </w:r>
    </w:p>
    <w:p>
      <w:pPr>
        <w:spacing w:line="400" w:lineRule="exact"/>
        <w:ind w:firstLine="480" w:firstLineChars="200"/>
        <w:contextualSpacing/>
        <w:rPr>
          <w:rFonts w:ascii="宋体" w:hAnsi="宋体" w:cs="宋体"/>
          <w:color w:val="auto"/>
          <w:kern w:val="0"/>
          <w:sz w:val="24"/>
          <w:highlight w:val="none"/>
        </w:rPr>
      </w:pPr>
    </w:p>
    <w:p>
      <w:pPr>
        <w:spacing w:line="360" w:lineRule="auto"/>
        <w:ind w:firstLine="3840" w:firstLineChars="1600"/>
        <w:rPr>
          <w:rFonts w:ascii="宋体" w:hAnsi="宋体" w:cs="宋体"/>
          <w:color w:val="auto"/>
          <w:sz w:val="24"/>
          <w:highlight w:val="none"/>
        </w:rPr>
      </w:pPr>
      <w:r>
        <w:rPr>
          <w:rFonts w:hint="eastAsia" w:ascii="宋体" w:hAnsi="宋体" w:cs="宋体"/>
          <w:color w:val="auto"/>
          <w:kern w:val="0"/>
          <w:sz w:val="24"/>
          <w:highlight w:val="none"/>
        </w:rPr>
        <w:t>供应商名称（盖公章）：</w:t>
      </w:r>
    </w:p>
    <w:p>
      <w:pPr>
        <w:spacing w:line="360" w:lineRule="auto"/>
        <w:contextualSpacing/>
        <w:jc w:val="center"/>
        <w:rPr>
          <w:rFonts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pPr>
        <w:snapToGrid w:val="0"/>
        <w:spacing w:line="360" w:lineRule="auto"/>
        <w:ind w:firstLine="602" w:firstLineChars="200"/>
        <w:rPr>
          <w:rFonts w:ascii="仿宋" w:hAnsi="仿宋" w:eastAsia="仿宋" w:cs="仿宋_GB2312"/>
          <w:b/>
          <w:color w:val="auto"/>
          <w:sz w:val="30"/>
          <w:szCs w:val="30"/>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22"/>
        <w:rPr>
          <w:color w:val="auto"/>
          <w:highlight w:val="none"/>
        </w:rPr>
      </w:pPr>
    </w:p>
    <w:p>
      <w:pPr>
        <w:snapToGrid w:val="0"/>
        <w:spacing w:line="360" w:lineRule="auto"/>
        <w:ind w:firstLine="602" w:firstLineChars="200"/>
        <w:rPr>
          <w:rFonts w:ascii="仿宋" w:hAnsi="仿宋" w:eastAsia="仿宋" w:cs="仿宋_GB2312"/>
          <w:b/>
          <w:color w:val="auto"/>
          <w:sz w:val="30"/>
          <w:szCs w:val="30"/>
          <w:highlight w:val="none"/>
        </w:rPr>
      </w:pPr>
    </w:p>
    <w:p>
      <w:pPr>
        <w:pStyle w:val="25"/>
        <w:snapToGrid w:val="0"/>
        <w:ind w:left="562" w:hanging="562"/>
        <w:rPr>
          <w:rFonts w:ascii="宋体" w:hAnsi="宋体" w:cs="宋体"/>
          <w:i/>
          <w:iCs/>
          <w:color w:val="auto"/>
          <w:sz w:val="24"/>
          <w:highlight w:val="none"/>
        </w:rPr>
      </w:pPr>
      <w:r>
        <w:rPr>
          <w:rFonts w:hint="eastAsia" w:ascii="宋体" w:hAnsi="宋体" w:cs="宋体"/>
          <w:b/>
          <w:color w:val="auto"/>
          <w:sz w:val="28"/>
          <w:szCs w:val="28"/>
          <w:highlight w:val="none"/>
        </w:rPr>
        <w:t>7.供应商类似的业绩证明文件</w:t>
      </w:r>
      <w:r>
        <w:rPr>
          <w:rFonts w:hint="eastAsia" w:ascii="宋体" w:hAnsi="宋体" w:cs="宋体"/>
          <w:b/>
          <w:bCs/>
          <w:color w:val="auto"/>
          <w:sz w:val="30"/>
          <w:szCs w:val="30"/>
          <w:highlight w:val="none"/>
        </w:rPr>
        <w:t>（如有要求）：</w:t>
      </w:r>
    </w:p>
    <w:p>
      <w:pPr>
        <w:spacing w:line="360" w:lineRule="auto"/>
        <w:ind w:firstLine="2880" w:firstLineChars="900"/>
        <w:contextualSpacing/>
        <w:rPr>
          <w:rFonts w:ascii="宋体" w:hAnsi="宋体" w:cs="宋体"/>
          <w:color w:val="auto"/>
          <w:sz w:val="32"/>
          <w:szCs w:val="32"/>
          <w:highlight w:val="none"/>
        </w:rPr>
      </w:pPr>
    </w:p>
    <w:p>
      <w:pPr>
        <w:spacing w:line="360" w:lineRule="auto"/>
        <w:ind w:firstLine="2880" w:firstLineChars="900"/>
        <w:contextualSpacing/>
        <w:rPr>
          <w:rFonts w:ascii="宋体" w:hAnsi="宋体" w:cs="宋体"/>
          <w:color w:val="auto"/>
          <w:sz w:val="32"/>
          <w:szCs w:val="32"/>
          <w:highlight w:val="none"/>
        </w:rPr>
      </w:pPr>
      <w:r>
        <w:rPr>
          <w:rFonts w:hint="eastAsia" w:ascii="宋体" w:hAnsi="宋体" w:cs="宋体"/>
          <w:color w:val="auto"/>
          <w:sz w:val="32"/>
          <w:szCs w:val="32"/>
          <w:highlight w:val="none"/>
        </w:rPr>
        <w:t>类似项目的业绩一览表</w:t>
      </w: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pPr w:leftFromText="180" w:rightFromText="180" w:vertAnchor="page" w:horzAnchor="page" w:tblpX="1008" w:tblpY="3639"/>
        <w:tblW w:w="103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63"/>
        <w:gridCol w:w="2164"/>
        <w:gridCol w:w="1134"/>
        <w:gridCol w:w="1134"/>
        <w:gridCol w:w="1701"/>
        <w:gridCol w:w="1276"/>
        <w:gridCol w:w="18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063"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216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金额</w:t>
            </w:r>
          </w:p>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4111" w:type="dxa"/>
            <w:gridSpan w:val="3"/>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06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216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合同或</w:t>
            </w:r>
            <w:r>
              <w:rPr>
                <w:rFonts w:hint="eastAsia" w:ascii="宋体" w:hAnsi="宋体" w:cs="宋体"/>
                <w:color w:val="auto"/>
                <w:highlight w:val="none"/>
              </w:rPr>
              <w:t>中标（成交）通知书</w:t>
            </w:r>
          </w:p>
        </w:tc>
        <w:tc>
          <w:tcPr>
            <w:tcW w:w="1701"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验收报告</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用户评价</w:t>
            </w:r>
          </w:p>
        </w:tc>
        <w:tc>
          <w:tcPr>
            <w:tcW w:w="1842"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line="24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063"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216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701"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c>
          <w:tcPr>
            <w:tcW w:w="1842" w:type="dxa"/>
            <w:tcBorders>
              <w:top w:val="single" w:color="auto" w:sz="4" w:space="0"/>
              <w:left w:val="single" w:color="auto" w:sz="4" w:space="0"/>
              <w:bottom w:val="single" w:color="auto" w:sz="4" w:space="0"/>
              <w:right w:val="single" w:color="auto" w:sz="4" w:space="0"/>
            </w:tcBorders>
          </w:tcPr>
          <w:p>
            <w:pPr>
              <w:snapToGrid w:val="0"/>
              <w:spacing w:before="50" w:after="120" w:afterLines="50" w:line="400" w:lineRule="exact"/>
              <w:jc w:val="left"/>
              <w:rPr>
                <w:rFonts w:ascii="宋体" w:hAnsi="宋体" w:cs="宋体"/>
                <w:color w:val="auto"/>
                <w:sz w:val="24"/>
                <w:highlight w:val="none"/>
              </w:rPr>
            </w:pPr>
          </w:p>
        </w:tc>
      </w:tr>
    </w:tbl>
    <w:p>
      <w:pPr>
        <w:snapToGrid w:val="0"/>
        <w:spacing w:line="360" w:lineRule="auto"/>
        <w:ind w:firstLine="4935" w:firstLineChars="2350"/>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 w:val="24"/>
          <w:szCs w:val="20"/>
          <w:highlight w:val="none"/>
        </w:rPr>
        <w:t>注：在填写时，如本表格不适合供应商的实际情况，可参照本表格式自行制表填写，并附上相关证明材料</w:t>
      </w:r>
      <w:r>
        <w:rPr>
          <w:rFonts w:hint="eastAsia"/>
          <w:color w:val="auto"/>
          <w:highlight w:val="none"/>
        </w:rPr>
        <w:t>。</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供应商名称(盖公章)：</w:t>
      </w:r>
    </w:p>
    <w:p>
      <w:pPr>
        <w:spacing w:line="500" w:lineRule="exact"/>
        <w:jc w:val="center"/>
        <w:rPr>
          <w:rFonts w:ascii="宋体" w:hAnsi="宋体" w:cs="宋体"/>
          <w:color w:val="auto"/>
          <w:sz w:val="32"/>
          <w:szCs w:val="32"/>
          <w:highlight w:val="none"/>
        </w:rPr>
        <w:sectPr>
          <w:pgSz w:w="11911" w:h="16838"/>
          <w:pgMar w:top="1134" w:right="1134" w:bottom="1134" w:left="1134" w:header="720" w:footer="720" w:gutter="0"/>
          <w:cols w:space="720" w:num="1"/>
        </w:sect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pPr>
        <w:snapToGrid w:val="0"/>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t>8.服务需求偏离表的格式：</w:t>
      </w:r>
    </w:p>
    <w:p>
      <w:pPr>
        <w:spacing w:line="500" w:lineRule="exact"/>
        <w:jc w:val="center"/>
        <w:rPr>
          <w:rFonts w:ascii="宋体" w:hAnsi="宋体" w:cs="宋体"/>
          <w:bCs/>
          <w:color w:val="auto"/>
          <w:sz w:val="44"/>
          <w:szCs w:val="44"/>
          <w:highlight w:val="none"/>
        </w:rPr>
      </w:pPr>
      <w:r>
        <w:rPr>
          <w:rFonts w:hint="eastAsia" w:ascii="宋体" w:hAnsi="宋体" w:cs="宋体"/>
          <w:bCs/>
          <w:color w:val="auto"/>
          <w:sz w:val="44"/>
          <w:szCs w:val="44"/>
          <w:highlight w:val="none"/>
        </w:rPr>
        <w:t>服务需求偏离表</w:t>
      </w:r>
    </w:p>
    <w:p>
      <w:pPr>
        <w:spacing w:line="360" w:lineRule="auto"/>
        <w:contextualSpacing/>
        <w:jc w:val="left"/>
        <w:rPr>
          <w:rFonts w:ascii="宋体" w:hAnsi="宋体" w:cs="宋体"/>
          <w:color w:val="auto"/>
          <w:sz w:val="24"/>
          <w:highlight w:val="none"/>
        </w:rPr>
      </w:pPr>
    </w:p>
    <w:p>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pacing w:line="360" w:lineRule="auto"/>
        <w:ind w:firstLine="720" w:firstLineChars="300"/>
        <w:contextualSpacing/>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ind w:firstLine="720" w:firstLineChars="300"/>
        <w:contextualSpacing/>
        <w:rPr>
          <w:rFonts w:ascii="宋体" w:hAnsi="宋体" w:cs="宋体"/>
          <w:color w:val="auto"/>
          <w:sz w:val="24"/>
          <w:highlight w:val="none"/>
          <w:u w:val="singl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tbl>
      <w:tblPr>
        <w:tblStyle w:val="31"/>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175"/>
        <w:gridCol w:w="3197"/>
        <w:gridCol w:w="2944"/>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项号</w:t>
            </w:r>
          </w:p>
        </w:tc>
        <w:tc>
          <w:tcPr>
            <w:tcW w:w="11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标的名称</w:t>
            </w:r>
          </w:p>
        </w:tc>
        <w:tc>
          <w:tcPr>
            <w:tcW w:w="319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竞争性磋商文件</w:t>
            </w:r>
            <w:r>
              <w:rPr>
                <w:rFonts w:hint="eastAsia" w:ascii="宋体" w:hAnsi="宋体"/>
                <w:color w:val="auto"/>
                <w:szCs w:val="21"/>
                <w:highlight w:val="none"/>
              </w:rPr>
              <w:t>采购需求中的技术要求</w:t>
            </w:r>
          </w:p>
        </w:tc>
        <w:tc>
          <w:tcPr>
            <w:tcW w:w="294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响应文件响应的</w:t>
            </w:r>
            <w:r>
              <w:rPr>
                <w:rFonts w:hint="eastAsia" w:ascii="宋体" w:hAnsi="宋体"/>
                <w:color w:val="auto"/>
                <w:szCs w:val="21"/>
                <w:highlight w:val="none"/>
              </w:rPr>
              <w:t>技术要求</w:t>
            </w: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jc w:val="center"/>
        </w:trPr>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c>
          <w:tcPr>
            <w:tcW w:w="117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319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09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r>
    </w:tbl>
    <w:p>
      <w:pPr>
        <w:pStyle w:val="16"/>
        <w:ind w:firstLine="845"/>
        <w:rPr>
          <w:rFonts w:ascii="宋体" w:hAnsi="宋体" w:cs="宋体"/>
          <w:color w:val="auto"/>
          <w:sz w:val="24"/>
          <w:highlight w:val="none"/>
          <w:u w:val="single"/>
        </w:rPr>
      </w:pPr>
    </w:p>
    <w:p>
      <w:pPr>
        <w:pStyle w:val="15"/>
        <w:spacing w:after="0" w:line="360" w:lineRule="auto"/>
        <w:contextualSpacing/>
        <w:rPr>
          <w:rFonts w:ascii="宋体" w:hAnsi="宋体" w:cs="宋体"/>
          <w:color w:val="auto"/>
          <w:kern w:val="0"/>
          <w:sz w:val="24"/>
          <w:szCs w:val="24"/>
          <w:highlight w:val="none"/>
        </w:rPr>
      </w:pPr>
    </w:p>
    <w:p>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w:t>
      </w:r>
    </w:p>
    <w:p>
      <w:pPr>
        <w:pStyle w:val="15"/>
        <w:spacing w:after="0" w:line="480" w:lineRule="auto"/>
        <w:ind w:firstLine="420" w:firstLineChars="200"/>
        <w:contextualSpacing/>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1.说明：应对照磋商文件“第二章  </w:t>
      </w:r>
      <w:r>
        <w:rPr>
          <w:rFonts w:hint="eastAsia" w:ascii="Cambria" w:hAnsi="Cambria"/>
          <w:bCs/>
          <w:color w:val="auto"/>
          <w:sz w:val="21"/>
          <w:szCs w:val="21"/>
          <w:highlight w:val="none"/>
        </w:rPr>
        <w:t>采购需求</w:t>
      </w:r>
      <w:r>
        <w:rPr>
          <w:rFonts w:hint="eastAsia" w:ascii="宋体" w:hAnsi="宋体" w:cs="宋体"/>
          <w:color w:val="auto"/>
          <w:kern w:val="0"/>
          <w:sz w:val="21"/>
          <w:szCs w:val="21"/>
          <w:highlight w:val="none"/>
        </w:rPr>
        <w:t>”中“需求一览表”的技术要求条款逐条作出明确响应，并作出偏离说明。</w:t>
      </w:r>
    </w:p>
    <w:p>
      <w:pPr>
        <w:pStyle w:val="16"/>
        <w:spacing w:line="480" w:lineRule="auto"/>
        <w:ind w:firstLine="420" w:firstLineChars="200"/>
        <w:contextualSpacing/>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2.供应商应根据自身的承诺，对照磋商文件要求，在“偏离说明”中注明“正偏离”或者“负偏离”或者“无偏离”。既不属于“正偏离”也不属于“负偏离”即为“无偏离”。 当响应文件的技术要求内容低于竞争性磋商文件要求时，供应商应当如实写明“负偏离”。</w:t>
      </w:r>
    </w:p>
    <w:p>
      <w:pPr>
        <w:spacing w:line="48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3.表格内容均需按要求填写并盖公章，不得留空，</w:t>
      </w:r>
      <w:r>
        <w:rPr>
          <w:rFonts w:hint="eastAsia" w:ascii="宋体" w:hAnsi="宋体" w:cs="宋体"/>
          <w:b/>
          <w:bCs/>
          <w:color w:val="auto"/>
          <w:kern w:val="0"/>
          <w:szCs w:val="21"/>
          <w:highlight w:val="none"/>
        </w:rPr>
        <w:t>否则按竞标无效处理。</w:t>
      </w:r>
    </w:p>
    <w:p>
      <w:pPr>
        <w:pStyle w:val="16"/>
        <w:spacing w:line="480" w:lineRule="auto"/>
        <w:ind w:firstLine="420" w:firstLineChars="200"/>
        <w:contextualSpacing/>
        <w:rPr>
          <w:rFonts w:ascii="宋体" w:hAnsi="宋体" w:eastAsia="宋体" w:cs="宋体"/>
          <w:color w:val="auto"/>
          <w:sz w:val="21"/>
          <w:szCs w:val="21"/>
          <w:highlight w:val="none"/>
        </w:rPr>
      </w:pPr>
    </w:p>
    <w:p>
      <w:pPr>
        <w:snapToGrid w:val="0"/>
        <w:spacing w:line="360" w:lineRule="auto"/>
        <w:rPr>
          <w:rFonts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9.服务方案</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color w:val="auto"/>
          <w:highlight w:val="none"/>
          <w:lang w:val="zh-CN"/>
        </w:rPr>
      </w:pPr>
    </w:p>
    <w:p>
      <w:pPr>
        <w:rPr>
          <w:color w:val="auto"/>
          <w:highlight w:val="none"/>
          <w:lang w:val="zh-CN"/>
        </w:rPr>
      </w:pPr>
    </w:p>
    <w:p>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color w:val="auto"/>
          <w:highlight w:val="none"/>
          <w:lang w:val="zh-CN"/>
        </w:rPr>
      </w:pPr>
    </w:p>
    <w:p>
      <w:pPr>
        <w:rPr>
          <w:color w:val="auto"/>
          <w:highlight w:val="none"/>
          <w:lang w:val="zh-CN"/>
        </w:rPr>
      </w:pPr>
    </w:p>
    <w:p>
      <w:pPr>
        <w:pStyle w:val="3"/>
        <w:ind w:firstLine="3840" w:firstLineChars="16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pPr>
        <w:pStyle w:val="3"/>
        <w:ind w:firstLine="6000" w:firstLineChars="25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pPr>
        <w:rPr>
          <w:rFonts w:ascii="宋体" w:hAnsi="宋体" w:cs="宋体"/>
          <w:color w:val="auto"/>
          <w:kern w:val="0"/>
          <w:sz w:val="24"/>
          <w:highlight w:val="none"/>
          <w:lang w:val="zh-CN"/>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10.项目质量保障措施</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color w:val="auto"/>
          <w:highlight w:val="none"/>
          <w:lang w:val="zh-CN"/>
        </w:rPr>
      </w:pPr>
    </w:p>
    <w:p>
      <w:pPr>
        <w:rPr>
          <w:color w:val="auto"/>
          <w:highlight w:val="none"/>
          <w:lang w:val="zh-CN"/>
        </w:rPr>
      </w:pPr>
    </w:p>
    <w:p>
      <w:pPr>
        <w:pStyle w:val="3"/>
        <w:jc w:val="center"/>
        <w:rPr>
          <w:rFonts w:ascii="宋体" w:hAnsi="宋体" w:cs="宋体"/>
          <w:color w:val="auto"/>
          <w:kern w:val="0"/>
          <w:sz w:val="24"/>
          <w:highlight w:val="none"/>
        </w:rPr>
      </w:pPr>
      <w:r>
        <w:rPr>
          <w:rFonts w:hint="eastAsia" w:ascii="宋体" w:hAnsi="宋体" w:cs="宋体"/>
          <w:color w:val="auto"/>
          <w:kern w:val="0"/>
          <w:sz w:val="24"/>
          <w:highlight w:val="none"/>
        </w:rPr>
        <w:t>（格式自拟）</w:t>
      </w:r>
    </w:p>
    <w:p>
      <w:pPr>
        <w:rPr>
          <w:rFonts w:ascii="宋体" w:hAnsi="宋体" w:cs="宋体"/>
          <w:color w:val="auto"/>
          <w:kern w:val="0"/>
          <w:sz w:val="24"/>
          <w:highlight w:val="none"/>
          <w:lang w:val="zh-CN"/>
        </w:rPr>
      </w:pPr>
    </w:p>
    <w:p>
      <w:pPr>
        <w:pStyle w:val="3"/>
        <w:rPr>
          <w:rFonts w:ascii="宋体" w:hAnsi="宋体" w:cs="宋体"/>
          <w:color w:val="auto"/>
          <w:kern w:val="0"/>
          <w:sz w:val="24"/>
          <w:highlight w:val="none"/>
          <w:lang w:val="zh-CN"/>
        </w:rPr>
      </w:pPr>
    </w:p>
    <w:p>
      <w:pPr>
        <w:rPr>
          <w:rFonts w:ascii="宋体" w:hAnsi="宋体" w:cs="宋体"/>
          <w:color w:val="auto"/>
          <w:kern w:val="0"/>
          <w:sz w:val="24"/>
          <w:highlight w:val="none"/>
          <w:lang w:val="zh-CN"/>
        </w:rPr>
      </w:pPr>
    </w:p>
    <w:p>
      <w:pPr>
        <w:pStyle w:val="3"/>
        <w:rPr>
          <w:color w:val="auto"/>
          <w:highlight w:val="none"/>
          <w:lang w:val="zh-CN"/>
        </w:rPr>
      </w:pPr>
    </w:p>
    <w:p>
      <w:pPr>
        <w:rPr>
          <w:color w:val="auto"/>
          <w:highlight w:val="none"/>
          <w:lang w:val="zh-CN"/>
        </w:rPr>
      </w:pPr>
    </w:p>
    <w:p>
      <w:pPr>
        <w:pStyle w:val="3"/>
        <w:ind w:firstLine="3840" w:firstLineChars="16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供应商名称（盖公章）：</w:t>
      </w:r>
    </w:p>
    <w:p>
      <w:pPr>
        <w:pStyle w:val="3"/>
        <w:ind w:firstLine="6000" w:firstLineChars="2500"/>
        <w:rPr>
          <w:rFonts w:ascii="宋体" w:hAnsi="宋体" w:cs="宋体"/>
          <w:b w:val="0"/>
          <w:bCs w:val="0"/>
          <w:color w:val="auto"/>
          <w:kern w:val="0"/>
          <w:sz w:val="24"/>
          <w:highlight w:val="none"/>
          <w:lang w:val="zh-CN"/>
        </w:rPr>
      </w:pPr>
      <w:r>
        <w:rPr>
          <w:rFonts w:hint="eastAsia" w:ascii="宋体" w:hAnsi="宋体" w:cs="宋体"/>
          <w:b w:val="0"/>
          <w:bCs w:val="0"/>
          <w:color w:val="auto"/>
          <w:kern w:val="0"/>
          <w:sz w:val="24"/>
          <w:highlight w:val="none"/>
          <w:lang w:val="zh-CN"/>
        </w:rPr>
        <w:t>日期：  年  月   日</w:t>
      </w:r>
    </w:p>
    <w:p>
      <w:pPr>
        <w:pStyle w:val="3"/>
        <w:rPr>
          <w:rFonts w:ascii="宋体" w:hAnsi="宋体" w:cs="宋体"/>
          <w:color w:val="auto"/>
          <w:sz w:val="28"/>
          <w:szCs w:val="28"/>
          <w:highlight w:val="none"/>
        </w:rPr>
      </w:pPr>
    </w:p>
    <w:p>
      <w:pPr>
        <w:snapToGrid w:val="0"/>
        <w:spacing w:line="360" w:lineRule="auto"/>
        <w:rPr>
          <w:rFonts w:ascii="宋体" w:hAnsi="宋体" w:cs="宋体"/>
          <w:b/>
          <w:color w:val="auto"/>
          <w:sz w:val="28"/>
          <w:szCs w:val="28"/>
          <w:highlight w:val="none"/>
        </w:rPr>
      </w:pPr>
    </w:p>
    <w:p>
      <w:pPr>
        <w:snapToGrid w:val="0"/>
        <w:spacing w:line="360" w:lineRule="auto"/>
        <w:rPr>
          <w:rFonts w:ascii="宋体" w:hAnsi="宋体" w:cs="宋体"/>
          <w:b/>
          <w:color w:val="auto"/>
          <w:sz w:val="28"/>
          <w:szCs w:val="28"/>
          <w:highlight w:val="none"/>
        </w:rPr>
      </w:pPr>
      <w:r>
        <w:rPr>
          <w:rFonts w:hint="eastAsia" w:ascii="宋体" w:hAnsi="宋体" w:cs="宋体"/>
          <w:b/>
          <w:color w:val="auto"/>
          <w:sz w:val="28"/>
          <w:szCs w:val="28"/>
          <w:highlight w:val="none"/>
        </w:rPr>
        <w:t>11.项目实施人员一览表（如有要求）</w:t>
      </w:r>
    </w:p>
    <w:p>
      <w:pPr>
        <w:spacing w:line="360" w:lineRule="auto"/>
        <w:jc w:val="center"/>
        <w:rPr>
          <w:rFonts w:ascii="宋体" w:hAnsi="宋体" w:cs="宋体"/>
          <w:color w:val="auto"/>
          <w:sz w:val="24"/>
          <w:highlight w:val="none"/>
        </w:rPr>
      </w:pPr>
      <w:r>
        <w:rPr>
          <w:rFonts w:hint="eastAsia" w:ascii="宋体" w:hAnsi="宋体" w:cs="宋体"/>
          <w:color w:val="auto"/>
          <w:sz w:val="24"/>
          <w:highlight w:val="none"/>
        </w:rPr>
        <w:t>（由供应商根据采购需求及采购文件要求编制）</w:t>
      </w:r>
    </w:p>
    <w:p>
      <w:pPr>
        <w:pStyle w:val="22"/>
        <w:rPr>
          <w:color w:val="auto"/>
          <w:highlight w:val="none"/>
        </w:rPr>
      </w:pPr>
    </w:p>
    <w:p>
      <w:pPr>
        <w:spacing w:line="360" w:lineRule="auto"/>
        <w:rPr>
          <w:rFonts w:ascii="宋体" w:hAnsi="宋体" w:cs="宋体"/>
          <w:color w:val="auto"/>
          <w:kern w:val="0"/>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p>
    <w:p>
      <w:pPr>
        <w:keepNext/>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附表A:本项目的项目负责人情况表</w:t>
      </w:r>
    </w:p>
    <w:tbl>
      <w:tblPr>
        <w:tblStyle w:val="31"/>
        <w:tblW w:w="8755" w:type="dxa"/>
        <w:tblInd w:w="-116" w:type="dxa"/>
        <w:tblLayout w:type="fixed"/>
        <w:tblCellMar>
          <w:top w:w="0" w:type="dxa"/>
          <w:left w:w="108" w:type="dxa"/>
          <w:bottom w:w="0" w:type="dxa"/>
          <w:right w:w="108" w:type="dxa"/>
        </w:tblCellMar>
      </w:tblPr>
      <w:tblGrid>
        <w:gridCol w:w="2061"/>
        <w:gridCol w:w="1287"/>
        <w:gridCol w:w="1260"/>
        <w:gridCol w:w="4147"/>
      </w:tblGrid>
      <w:tr>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响应截止时间前三年业绩及承担的主要工作情况，曾担任项目负责人的项目应列明细。</w:t>
            </w: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r>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r>
    </w:tbl>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pPr>
        <w:autoSpaceDE w:val="0"/>
        <w:autoSpaceDN w:val="0"/>
        <w:spacing w:line="360" w:lineRule="auto"/>
        <w:rPr>
          <w:rFonts w:ascii="宋体" w:hAnsi="宋体" w:cs="宋体"/>
          <w:b/>
          <w:color w:val="auto"/>
          <w:sz w:val="24"/>
          <w:highlight w:val="none"/>
        </w:rPr>
      </w:pPr>
    </w:p>
    <w:p>
      <w:pPr>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p>
    <w:tbl>
      <w:tblPr>
        <w:tblStyle w:val="31"/>
        <w:tblW w:w="9030" w:type="dxa"/>
        <w:tblInd w:w="-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r>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pPr>
              <w:autoSpaceDE w:val="0"/>
              <w:autoSpaceDN w:val="0"/>
              <w:spacing w:line="360" w:lineRule="auto"/>
              <w:rPr>
                <w:rFonts w:ascii="宋体" w:hAnsi="宋体" w:cs="宋体"/>
                <w:color w:val="auto"/>
                <w:sz w:val="24"/>
                <w:highlight w:val="none"/>
              </w:rPr>
            </w:pPr>
          </w:p>
        </w:tc>
      </w:tr>
    </w:tbl>
    <w:p>
      <w:pPr>
        <w:spacing w:line="360" w:lineRule="auto"/>
        <w:rPr>
          <w:rFonts w:ascii="宋体" w:hAnsi="宋体" w:cs="宋体"/>
          <w:b/>
          <w:bCs/>
          <w:color w:val="auto"/>
          <w:sz w:val="24"/>
          <w:highlight w:val="none"/>
        </w:rPr>
      </w:pPr>
      <w:r>
        <w:rPr>
          <w:rFonts w:hint="eastAsia" w:ascii="宋体" w:hAnsi="宋体" w:cs="宋体"/>
          <w:b/>
          <w:color w:val="auto"/>
          <w:sz w:val="24"/>
          <w:highlight w:val="none"/>
        </w:rPr>
        <w:t>注：供应商可参照上述的格式自行编制，并注明所在响应技术文件页码。</w:t>
      </w:r>
    </w:p>
    <w:p>
      <w:pPr>
        <w:snapToGrid w:val="0"/>
        <w:spacing w:line="360" w:lineRule="auto"/>
        <w:ind w:firstLine="602" w:firstLineChars="200"/>
        <w:rPr>
          <w:rFonts w:ascii="宋体" w:hAnsi="宋体" w:cs="宋体"/>
          <w:b/>
          <w:color w:val="auto"/>
          <w:sz w:val="30"/>
          <w:szCs w:val="30"/>
          <w:highlight w:val="none"/>
        </w:rPr>
      </w:pPr>
    </w:p>
    <w:p>
      <w:pPr>
        <w:autoSpaceDE w:val="0"/>
        <w:autoSpaceDN w:val="0"/>
        <w:spacing w:line="360" w:lineRule="auto"/>
        <w:ind w:firstLine="6505" w:firstLineChars="2700"/>
        <w:rPr>
          <w:rFonts w:ascii="宋体" w:hAnsi="宋体" w:cs="宋体"/>
          <w:b/>
          <w:bCs/>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autoSpaceDE w:val="0"/>
        <w:autoSpaceDN w:val="0"/>
        <w:spacing w:line="360" w:lineRule="auto"/>
        <w:ind w:firstLine="6480" w:firstLineChars="2700"/>
        <w:rPr>
          <w:rFonts w:ascii="仿宋_GB2312" w:hAnsi="仿宋" w:eastAsia="仿宋_GB2312" w:cs="仿宋_GB2312"/>
          <w:color w:val="auto"/>
          <w:kern w:val="0"/>
          <w:sz w:val="24"/>
          <w:highlight w:val="none"/>
          <w:lang w:val="zh-CN"/>
        </w:rPr>
      </w:pPr>
    </w:p>
    <w:p>
      <w:pPr>
        <w:autoSpaceDE w:val="0"/>
        <w:autoSpaceDN w:val="0"/>
        <w:spacing w:line="360" w:lineRule="auto"/>
        <w:ind w:firstLine="8131" w:firstLineChars="2700"/>
        <w:rPr>
          <w:rFonts w:ascii="仿宋_GB2312" w:hAnsi="仿宋" w:eastAsia="仿宋_GB2312" w:cs="仿宋_GB2312"/>
          <w:b/>
          <w:bCs/>
          <w:color w:val="auto"/>
          <w:sz w:val="24"/>
          <w:highlight w:val="none"/>
        </w:rPr>
      </w:pPr>
      <w:r>
        <w:rPr>
          <w:rFonts w:hint="eastAsia" w:ascii="仿宋" w:hAnsi="仿宋" w:eastAsia="仿宋" w:cs="仿宋_GB2312"/>
          <w:b/>
          <w:color w:val="auto"/>
          <w:sz w:val="30"/>
          <w:szCs w:val="30"/>
          <w:highlight w:val="none"/>
        </w:rPr>
        <w:br w:type="page"/>
      </w:r>
    </w:p>
    <w:p>
      <w:pPr>
        <w:pStyle w:val="4"/>
        <w:jc w:val="center"/>
        <w:rPr>
          <w:rFonts w:ascii="宋体" w:hAnsi="宋体"/>
          <w:color w:val="auto"/>
          <w:highlight w:val="none"/>
        </w:rPr>
      </w:pPr>
      <w:bookmarkStart w:id="145" w:name="_Toc31035"/>
      <w:bookmarkStart w:id="146" w:name="_Toc80205941"/>
      <w:bookmarkStart w:id="147" w:name="_Toc80886945"/>
      <w:bookmarkStart w:id="148" w:name="_Toc12611"/>
      <w:r>
        <w:rPr>
          <w:rFonts w:hint="eastAsia" w:ascii="宋体" w:hAnsi="宋体"/>
          <w:color w:val="auto"/>
          <w:highlight w:val="none"/>
        </w:rPr>
        <w:t>第三节 报价文件格式</w:t>
      </w:r>
      <w:bookmarkEnd w:id="145"/>
      <w:bookmarkEnd w:id="146"/>
      <w:bookmarkEnd w:id="147"/>
      <w:bookmarkEnd w:id="148"/>
    </w:p>
    <w:p>
      <w:pPr>
        <w:pStyle w:val="22"/>
        <w:rPr>
          <w:color w:val="auto"/>
          <w:highlight w:val="none"/>
          <w:lang w:val="zh-CN"/>
        </w:rPr>
      </w:pPr>
      <w:r>
        <w:rPr>
          <w:rFonts w:hint="eastAsia"/>
          <w:color w:val="auto"/>
          <w:sz w:val="24"/>
          <w:highlight w:val="none"/>
        </w:rPr>
        <w:t xml:space="preserve">  </w:t>
      </w:r>
      <w:r>
        <w:rPr>
          <w:rFonts w:hint="eastAsia" w:ascii="宋体" w:hAnsi="宋体" w:cs="宋体"/>
          <w:b/>
          <w:bCs/>
          <w:color w:val="auto"/>
          <w:sz w:val="28"/>
          <w:szCs w:val="28"/>
          <w:highlight w:val="none"/>
        </w:rPr>
        <w:t>1.报价文件封面的格式</w:t>
      </w:r>
      <w:r>
        <w:rPr>
          <w:rFonts w:hint="eastAsia" w:ascii="宋体" w:hAnsi="宋体" w:cs="宋体"/>
          <w:b/>
          <w:color w:val="auto"/>
          <w:sz w:val="28"/>
          <w:szCs w:val="28"/>
          <w:highlight w:val="none"/>
        </w:rPr>
        <w:t>（参照此格式自拟）</w:t>
      </w:r>
      <w:r>
        <w:rPr>
          <w:rFonts w:hint="eastAsia" w:ascii="宋体" w:hAnsi="宋体" w:cs="宋体"/>
          <w:b/>
          <w:bCs/>
          <w:color w:val="auto"/>
          <w:sz w:val="28"/>
          <w:szCs w:val="28"/>
          <w:highlight w:val="none"/>
        </w:rPr>
        <w:t>：</w:t>
      </w:r>
    </w:p>
    <w:p>
      <w:pPr>
        <w:snapToGrid w:val="0"/>
        <w:spacing w:before="120" w:beforeLines="50" w:after="50"/>
        <w:rPr>
          <w:color w:val="auto"/>
          <w:sz w:val="24"/>
          <w:highlight w:val="none"/>
        </w:rPr>
      </w:pPr>
      <w:r>
        <w:rPr>
          <w:rFonts w:hint="eastAsia"/>
          <w:color w:val="auto"/>
          <w:sz w:val="24"/>
          <w:highlight w:val="none"/>
        </w:rPr>
        <w:t xml:space="preserve">                                             </w:t>
      </w:r>
    </w:p>
    <w:p>
      <w:pPr>
        <w:snapToGrid w:val="0"/>
        <w:spacing w:before="120" w:beforeLines="50" w:after="50"/>
        <w:ind w:firstLine="6720" w:firstLineChars="3200"/>
        <w:rPr>
          <w:bCs/>
          <w:color w:val="auto"/>
          <w:sz w:val="32"/>
          <w:szCs w:val="20"/>
          <w:highlight w:val="none"/>
        </w:rPr>
      </w:pPr>
      <w:r>
        <w:rPr>
          <w:rFonts w:hint="eastAsia"/>
          <w:bCs/>
          <w:color w:val="auto"/>
          <w:highlight w:val="none"/>
        </w:rPr>
        <w:t>全流程电子文件</w:t>
      </w: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rPr>
          <w:color w:val="auto"/>
          <w:sz w:val="24"/>
          <w:szCs w:val="20"/>
          <w:highlight w:val="none"/>
        </w:rPr>
      </w:pPr>
    </w:p>
    <w:p>
      <w:pPr>
        <w:snapToGrid w:val="0"/>
        <w:spacing w:before="120" w:beforeLines="50" w:after="50"/>
        <w:jc w:val="center"/>
        <w:rPr>
          <w:rFonts w:ascii="仿宋" w:hAnsi="仿宋" w:eastAsia="仿宋" w:cs="仿宋"/>
          <w:bCs/>
          <w:color w:val="auto"/>
          <w:sz w:val="44"/>
          <w:szCs w:val="44"/>
          <w:highlight w:val="none"/>
        </w:rPr>
      </w:pPr>
      <w:r>
        <w:rPr>
          <w:rFonts w:hint="eastAsia" w:ascii="仿宋" w:hAnsi="仿宋" w:eastAsia="仿宋" w:cs="仿宋"/>
          <w:bCs/>
          <w:color w:val="auto"/>
          <w:sz w:val="44"/>
          <w:szCs w:val="44"/>
          <w:highlight w:val="none"/>
        </w:rPr>
        <w:t xml:space="preserve">报 </w:t>
      </w:r>
      <w:r>
        <w:rPr>
          <w:rFonts w:ascii="仿宋" w:hAnsi="仿宋" w:eastAsia="仿宋" w:cs="仿宋"/>
          <w:bCs/>
          <w:color w:val="auto"/>
          <w:sz w:val="44"/>
          <w:szCs w:val="44"/>
          <w:highlight w:val="none"/>
        </w:rPr>
        <w:t xml:space="preserve"> </w:t>
      </w:r>
      <w:r>
        <w:rPr>
          <w:rFonts w:hint="eastAsia" w:ascii="仿宋" w:hAnsi="仿宋" w:eastAsia="仿宋" w:cs="仿宋"/>
          <w:bCs/>
          <w:color w:val="auto"/>
          <w:sz w:val="44"/>
          <w:szCs w:val="44"/>
          <w:highlight w:val="none"/>
        </w:rPr>
        <w:t>价  文  件</w:t>
      </w: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rPr>
          <w:bCs/>
          <w:color w:val="auto"/>
          <w:sz w:val="24"/>
          <w:szCs w:val="20"/>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项目名称：</w:t>
      </w:r>
    </w:p>
    <w:p>
      <w:pPr>
        <w:snapToGrid w:val="0"/>
        <w:spacing w:before="120" w:beforeLines="50" w:after="50"/>
        <w:ind w:firstLine="720" w:firstLineChars="225"/>
        <w:rPr>
          <w:rFonts w:cs="仿宋_GB2312"/>
          <w:bCs/>
          <w:color w:val="auto"/>
          <w:sz w:val="32"/>
          <w:szCs w:val="32"/>
          <w:highlight w:val="none"/>
        </w:rPr>
      </w:pP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项目编号：</w:t>
      </w:r>
    </w:p>
    <w:p>
      <w:pPr>
        <w:snapToGrid w:val="0"/>
        <w:spacing w:before="120" w:beforeLines="50" w:after="50"/>
        <w:ind w:firstLine="720" w:firstLineChars="225"/>
        <w:rPr>
          <w:rFonts w:cs="仿宋_GB2312"/>
          <w:bCs/>
          <w:color w:val="auto"/>
          <w:sz w:val="32"/>
          <w:szCs w:val="32"/>
          <w:highlight w:val="none"/>
        </w:rPr>
      </w:pPr>
      <w:r>
        <w:rPr>
          <w:rFonts w:hint="eastAsia" w:cs="仿宋_GB2312"/>
          <w:bCs/>
          <w:color w:val="auto"/>
          <w:sz w:val="32"/>
          <w:szCs w:val="32"/>
          <w:highlight w:val="none"/>
        </w:rPr>
        <w:t xml:space="preserve"> </w:t>
      </w:r>
    </w:p>
    <w:p>
      <w:pPr>
        <w:snapToGrid w:val="0"/>
        <w:spacing w:before="120" w:beforeLines="50" w:after="50"/>
        <w:ind w:firstLine="640" w:firstLineChars="200"/>
        <w:rPr>
          <w:rFonts w:cs="仿宋_GB2312"/>
          <w:bCs/>
          <w:color w:val="auto"/>
          <w:sz w:val="32"/>
          <w:szCs w:val="32"/>
          <w:highlight w:val="none"/>
        </w:rPr>
      </w:pPr>
      <w:r>
        <w:rPr>
          <w:rFonts w:hint="eastAsia" w:cs="仿宋_GB2312"/>
          <w:bCs/>
          <w:color w:val="auto"/>
          <w:sz w:val="32"/>
          <w:szCs w:val="32"/>
          <w:highlight w:val="none"/>
        </w:rPr>
        <w:t>所竞分标（如有则填写，无分标时填写“无”或者留空）：</w:t>
      </w:r>
    </w:p>
    <w:p>
      <w:pPr>
        <w:snapToGrid w:val="0"/>
        <w:spacing w:before="120" w:beforeLines="50" w:after="50"/>
        <w:ind w:firstLine="720" w:firstLineChars="225"/>
        <w:rPr>
          <w:rFonts w:cs="仿宋_GB2312"/>
          <w:bCs/>
          <w:color w:val="auto"/>
          <w:sz w:val="32"/>
          <w:szCs w:val="32"/>
          <w:highlight w:val="none"/>
        </w:rPr>
      </w:pPr>
    </w:p>
    <w:p>
      <w:pPr>
        <w:pStyle w:val="8"/>
        <w:snapToGrid w:val="0"/>
        <w:spacing w:before="50" w:after="50"/>
        <w:ind w:firstLine="640" w:firstLineChars="200"/>
        <w:rPr>
          <w:rFonts w:cs="仿宋_GB2312"/>
          <w:bCs/>
          <w:color w:val="auto"/>
          <w:sz w:val="32"/>
          <w:szCs w:val="32"/>
          <w:highlight w:val="none"/>
        </w:rPr>
      </w:pPr>
      <w:r>
        <w:rPr>
          <w:rFonts w:hint="eastAsia" w:cs="仿宋_GB2312"/>
          <w:bCs/>
          <w:color w:val="auto"/>
          <w:sz w:val="32"/>
          <w:szCs w:val="32"/>
          <w:highlight w:val="none"/>
        </w:rPr>
        <w:t>供应商名称：</w:t>
      </w: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720" w:firstLineChars="225"/>
        <w:rPr>
          <w:rFonts w:cs="仿宋_GB2312"/>
          <w:bCs/>
          <w:color w:val="auto"/>
          <w:sz w:val="32"/>
          <w:szCs w:val="32"/>
          <w:highlight w:val="none"/>
        </w:rPr>
      </w:pPr>
    </w:p>
    <w:p>
      <w:pPr>
        <w:pStyle w:val="8"/>
        <w:snapToGrid w:val="0"/>
        <w:spacing w:before="50" w:after="50"/>
        <w:ind w:firstLine="1280" w:firstLineChars="400"/>
        <w:rPr>
          <w:rFonts w:cs="仿宋_GB2312"/>
          <w:bCs/>
          <w:color w:val="auto"/>
          <w:sz w:val="32"/>
          <w:szCs w:val="32"/>
          <w:highlight w:val="none"/>
        </w:rPr>
      </w:pPr>
    </w:p>
    <w:p>
      <w:pPr>
        <w:snapToGrid w:val="0"/>
        <w:spacing w:before="120" w:beforeLines="50" w:after="50"/>
        <w:jc w:val="center"/>
        <w:rPr>
          <w:rFonts w:cs="仿宋_GB2312"/>
          <w:color w:val="auto"/>
          <w:sz w:val="32"/>
          <w:szCs w:val="32"/>
          <w:highlight w:val="none"/>
        </w:rPr>
      </w:pPr>
      <w:r>
        <w:rPr>
          <w:rFonts w:hint="eastAsia" w:cs="仿宋_GB2312"/>
          <w:color w:val="auto"/>
          <w:sz w:val="32"/>
          <w:szCs w:val="32"/>
          <w:highlight w:val="none"/>
        </w:rPr>
        <w:t>年    月    日</w:t>
      </w:r>
    </w:p>
    <w:p>
      <w:pPr>
        <w:snapToGrid w:val="0"/>
        <w:spacing w:before="120" w:beforeLines="50" w:after="50" w:line="360" w:lineRule="auto"/>
        <w:jc w:val="left"/>
        <w:rPr>
          <w:rFonts w:ascii="宋体" w:hAnsi="宋体" w:cs="宋体"/>
          <w:color w:val="auto"/>
          <w:sz w:val="28"/>
          <w:szCs w:val="28"/>
          <w:highlight w:val="none"/>
        </w:rPr>
      </w:pPr>
      <w:r>
        <w:rPr>
          <w:color w:val="auto"/>
          <w:sz w:val="24"/>
          <w:highlight w:val="none"/>
        </w:rPr>
        <w:br w:type="page"/>
      </w: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pPr>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根据竞争性磋商文件规定及供应商提供的材料自行编写目录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pPr>
        <w:spacing w:line="360" w:lineRule="auto"/>
        <w:rPr>
          <w:rFonts w:ascii="仿宋_GB2312" w:hAnsi="仿宋" w:eastAsia="仿宋_GB2312" w:cs="仿宋_GB2312"/>
          <w:color w:val="auto"/>
          <w:sz w:val="24"/>
          <w:highlight w:val="none"/>
        </w:rPr>
      </w:pPr>
    </w:p>
    <w:p>
      <w:pPr>
        <w:snapToGrid w:val="0"/>
        <w:spacing w:before="120" w:beforeLines="50" w:after="50" w:line="360" w:lineRule="auto"/>
        <w:ind w:left="142" w:firstLine="640" w:firstLineChars="200"/>
        <w:jc w:val="left"/>
        <w:rPr>
          <w:rFonts w:ascii="仿宋_GB2312" w:hAnsi="仿宋_GB2312" w:eastAsia="仿宋_GB2312" w:cs="仿宋_GB2312"/>
          <w:color w:val="auto"/>
          <w:sz w:val="32"/>
          <w:szCs w:val="32"/>
          <w:highlight w:val="none"/>
        </w:rPr>
      </w:pPr>
    </w:p>
    <w:p>
      <w:pPr>
        <w:snapToGrid w:val="0"/>
        <w:spacing w:before="120" w:beforeLines="50" w:after="50" w:line="360" w:lineRule="auto"/>
        <w:jc w:val="left"/>
        <w:rPr>
          <w:rFonts w:ascii="Calibri" w:cs="仿宋_GB2312"/>
          <w:color w:val="auto"/>
          <w:sz w:val="24"/>
          <w:highlight w:val="none"/>
        </w:rPr>
      </w:pPr>
      <w:r>
        <w:rPr>
          <w:rFonts w:ascii="Calibri" w:cs="仿宋_GB2312"/>
          <w:color w:val="auto"/>
          <w:sz w:val="24"/>
          <w:highlight w:val="none"/>
        </w:rPr>
        <w:br w:type="page"/>
      </w:r>
      <w:r>
        <w:rPr>
          <w:rFonts w:hint="eastAsia" w:ascii="宋体" w:hAnsi="宋体" w:cs="宋体"/>
          <w:b/>
          <w:color w:val="auto"/>
          <w:sz w:val="28"/>
          <w:szCs w:val="28"/>
          <w:highlight w:val="none"/>
        </w:rPr>
        <w:t>3.</w:t>
      </w:r>
      <w:r>
        <w:rPr>
          <w:rFonts w:hint="eastAsia" w:ascii="宋体" w:hAnsi="宋体" w:cs="宋体"/>
          <w:b/>
          <w:color w:val="auto"/>
          <w:sz w:val="28"/>
          <w:szCs w:val="28"/>
          <w:highlight w:val="none"/>
          <w:lang w:val="zh-CN"/>
        </w:rPr>
        <w:t>响应函的格式：</w:t>
      </w:r>
    </w:p>
    <w:p>
      <w:pPr>
        <w:spacing w:line="500" w:lineRule="exact"/>
        <w:jc w:val="center"/>
        <w:rPr>
          <w:b/>
          <w:bCs/>
          <w:color w:val="auto"/>
          <w:kern w:val="0"/>
          <w:sz w:val="30"/>
          <w:szCs w:val="30"/>
          <w:highlight w:val="none"/>
        </w:rPr>
      </w:pPr>
      <w:r>
        <w:rPr>
          <w:rFonts w:hint="eastAsia"/>
          <w:b/>
          <w:bCs/>
          <w:color w:val="auto"/>
          <w:kern w:val="0"/>
          <w:sz w:val="30"/>
          <w:szCs w:val="30"/>
          <w:highlight w:val="none"/>
        </w:rPr>
        <w:t>响应函</w:t>
      </w:r>
    </w:p>
    <w:p>
      <w:pPr>
        <w:spacing w:line="460" w:lineRule="exact"/>
        <w:rPr>
          <w:color w:val="auto"/>
          <w:kern w:val="0"/>
          <w:sz w:val="24"/>
          <w:highlight w:val="none"/>
        </w:rPr>
      </w:pPr>
    </w:p>
    <w:p>
      <w:pPr>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（采购代理机构名称）</w:t>
      </w:r>
    </w:p>
    <w:p>
      <w:pPr>
        <w:spacing w:line="460" w:lineRule="exact"/>
        <w:ind w:firstLine="480" w:firstLineChars="200"/>
        <w:rPr>
          <w:rFonts w:ascii="宋体" w:hAnsi="宋体" w:cs="宋体"/>
          <w:color w:val="auto"/>
          <w:kern w:val="0"/>
          <w:sz w:val="24"/>
          <w:highlight w:val="none"/>
        </w:rPr>
      </w:pP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我方已仔细阅读了贵方组织的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）的竞争性磋商文件的全部内容，现正式递交下述文件参加贵方组织的本次政府采购活动： </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一、首次报价文件电子版（包含按“第三章 供应商须知”提交的全部文件）；</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二、技术文件电子版（包含按“第三章 供应商须知”提交的全部文件）；商务文件电子版（包含按“第三章 供应商须知”提交的全部文件）；</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三、资格证明文件电子版（包含按“第三章供应商须知”提交的全部文件）。</w:t>
      </w:r>
    </w:p>
    <w:p>
      <w:pPr>
        <w:spacing w:line="4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据此函，我方兹宣布：</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1、我方愿意以磋商时</w:t>
      </w:r>
      <w:r>
        <w:rPr>
          <w:rFonts w:hint="eastAsia" w:hAnsi="宋体" w:cs="宋体"/>
          <w:color w:val="auto"/>
          <w:sz w:val="24"/>
          <w:highlight w:val="none"/>
        </w:rPr>
        <w:t>提交的最后报价表中的竞标总</w:t>
      </w:r>
      <w:r>
        <w:rPr>
          <w:rFonts w:hint="eastAsia" w:ascii="宋体" w:hAnsi="宋体" w:cs="宋体"/>
          <w:color w:val="auto"/>
          <w:sz w:val="24"/>
          <w:highlight w:val="none"/>
        </w:rPr>
        <w:t>报价</w:t>
      </w:r>
      <w:r>
        <w:rPr>
          <w:rFonts w:hint="eastAsia" w:hAnsi="宋体" w:cs="宋体"/>
          <w:color w:val="auto"/>
          <w:sz w:val="24"/>
          <w:highlight w:val="none"/>
        </w:rPr>
        <w:t>，在承诺的</w:t>
      </w:r>
      <w:r>
        <w:rPr>
          <w:rFonts w:hint="eastAsia" w:ascii="宋体" w:hAnsi="宋体" w:cs="宋体"/>
          <w:color w:val="auto"/>
          <w:kern w:val="0"/>
          <w:sz w:val="24"/>
          <w:highlight w:val="none"/>
        </w:rPr>
        <w:t>服务期限</w:t>
      </w:r>
      <w:r>
        <w:rPr>
          <w:rFonts w:hint="eastAsia" w:hAnsi="宋体" w:cs="宋体"/>
          <w:color w:val="auto"/>
          <w:sz w:val="24"/>
          <w:highlight w:val="none"/>
        </w:rPr>
        <w:t>内</w:t>
      </w:r>
      <w:r>
        <w:rPr>
          <w:rFonts w:hint="eastAsia" w:ascii="宋体" w:hAnsi="宋体" w:cs="宋体"/>
          <w:color w:val="auto"/>
          <w:kern w:val="0"/>
          <w:sz w:val="24"/>
          <w:highlight w:val="none"/>
        </w:rPr>
        <w:t>提供本项目竞争性磋商文件第二章“采购需求”中相应的采购内容</w:t>
      </w:r>
      <w:r>
        <w:rPr>
          <w:rFonts w:hint="eastAsia" w:hAnsi="宋体" w:cs="宋体"/>
          <w:color w:val="auto"/>
          <w:sz w:val="24"/>
          <w:highlight w:val="none"/>
        </w:rPr>
        <w:t>，具体详见最后报价表</w:t>
      </w:r>
      <w:r>
        <w:rPr>
          <w:rFonts w:hint="eastAsia" w:ascii="宋体" w:hAnsi="宋体" w:cs="宋体"/>
          <w:color w:val="auto"/>
          <w:kern w:val="0"/>
          <w:sz w:val="24"/>
          <w:highlight w:val="none"/>
        </w:rPr>
        <w:t>。</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2、我方同意自本项目竞争性磋商文件采购公告规定的提交响应文件截止时间起遵循本响应函，并承诺在“第三章 供应商须知”规定的竞标有效期内不修改、撤销响应文件。</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3、我方在此声明，所递交的响应文件及有关资料内容完整、真实和准确。</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4、如本项目采购内容涉及须符合国家强制规定的，我方承诺我方本次竞标均符合国家有关强制规定。</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5、如我方成交，我方承诺在收到成交通知书后，在成交通知书规定的期限内，根据竞争性磋商文件、我方的响应文件及有关澄清承诺书的要求按第六章“合同文本”与采购人订立书面合同，并按照合同约定承担完成合同的责任和义务。</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6、我方已详细审核竞争性磋商文件，我方知道必须放弃提出含糊不清或误解问题的权利。</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7、我方承诺满足竞争性磋商文件第六章“合同文本”的条款，承担完成合同的责任和义务。</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8、我方同意应贵方要求提供与本竞标有关的任何数据或资料。若贵方需要，我方愿意提供我方作出的一切承诺的证明材料。</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9、我方完全理解贵方不一定接受响应报价最低的供应商为成交供应商的行为。</w:t>
      </w:r>
    </w:p>
    <w:p>
      <w:pPr>
        <w:spacing w:line="460" w:lineRule="exact"/>
        <w:ind w:firstLine="482"/>
        <w:rPr>
          <w:rFonts w:ascii="宋体" w:hAnsi="宋体" w:cs="宋体"/>
          <w:color w:val="auto"/>
          <w:kern w:val="0"/>
          <w:sz w:val="24"/>
          <w:highlight w:val="none"/>
        </w:rPr>
      </w:pPr>
      <w:r>
        <w:rPr>
          <w:rFonts w:hint="eastAsia" w:ascii="宋体" w:hAnsi="宋体" w:cs="宋体"/>
          <w:color w:val="auto"/>
          <w:kern w:val="0"/>
          <w:sz w:val="24"/>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提供虚假材料谋取中标、成交的；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采取不正当手段诋毁、排挤其他供应商的；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与采购人、其他供应商或者采购代理机构恶意串通的；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向采购人、采购代理机构行贿或者提供其他不正当利益的；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在采购过程中与采购人进行协商磋商的；</w:t>
      </w:r>
    </w:p>
    <w:p>
      <w:pPr>
        <w:numPr>
          <w:ilvl w:val="0"/>
          <w:numId w:val="3"/>
        </w:numPr>
        <w:tabs>
          <w:tab w:val="left" w:pos="945"/>
        </w:tabs>
        <w:spacing w:line="460" w:lineRule="exact"/>
        <w:rPr>
          <w:rFonts w:ascii="宋体" w:hAnsi="宋体" w:cs="宋体"/>
          <w:color w:val="auto"/>
          <w:kern w:val="0"/>
          <w:sz w:val="24"/>
          <w:highlight w:val="none"/>
        </w:rPr>
      </w:pPr>
      <w:r>
        <w:rPr>
          <w:rFonts w:hint="eastAsia" w:ascii="宋体" w:hAnsi="宋体" w:cs="宋体"/>
          <w:color w:val="auto"/>
          <w:kern w:val="0"/>
          <w:sz w:val="24"/>
          <w:highlight w:val="none"/>
        </w:rPr>
        <w:t>拒绝有关部门监督检查或提供虚假情况的。</w:t>
      </w:r>
    </w:p>
    <w:p>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11、以上事项如有虚假或者隐瞒，我方愿意承担一切后果，并不再寻求任何旨在减轻或者免除法律责任的辩解。</w:t>
      </w:r>
    </w:p>
    <w:p>
      <w:pPr>
        <w:spacing w:line="460" w:lineRule="exact"/>
        <w:ind w:firstLine="420"/>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12、与本磋商有关的一切正式往来信函请寄： </w:t>
      </w:r>
    </w:p>
    <w:p>
      <w:pPr>
        <w:spacing w:line="460" w:lineRule="exact"/>
        <w:ind w:firstLine="420"/>
        <w:rPr>
          <w:rFonts w:ascii="宋体" w:hAnsi="宋体" w:cs="宋体"/>
          <w:color w:val="auto"/>
          <w:kern w:val="0"/>
          <w:sz w:val="24"/>
          <w:highlight w:val="none"/>
        </w:rPr>
      </w:pPr>
      <w:r>
        <w:rPr>
          <w:rFonts w:hint="eastAsia" w:ascii="宋体" w:hAnsi="宋体" w:cs="宋体"/>
          <w:color w:val="auto"/>
          <w:kern w:val="0"/>
          <w:sz w:val="24"/>
          <w:highlight w:val="none"/>
        </w:rPr>
        <w:t>地址：</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电话：</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传真：</w:t>
      </w:r>
      <w:r>
        <w:rPr>
          <w:rFonts w:hint="eastAsia" w:ascii="宋体" w:hAnsi="宋体" w:cs="宋体"/>
          <w:color w:val="auto"/>
          <w:kern w:val="0"/>
          <w:sz w:val="24"/>
          <w:highlight w:val="none"/>
          <w:u w:val="single"/>
        </w:rPr>
        <w:t>　　　　　　　　　　　　　　　　　　　　　　　　　　　　</w:t>
      </w:r>
    </w:p>
    <w:p>
      <w:pPr>
        <w:spacing w:line="460" w:lineRule="exact"/>
        <w:ind w:firstLine="420"/>
        <w:rPr>
          <w:rFonts w:ascii="宋体" w:hAnsi="宋体" w:cs="宋体"/>
          <w:color w:val="auto"/>
          <w:sz w:val="24"/>
          <w:highlight w:val="none"/>
        </w:rPr>
      </w:pPr>
      <w:r>
        <w:rPr>
          <w:rFonts w:hint="eastAsia" w:ascii="宋体" w:hAnsi="宋体" w:cs="宋体"/>
          <w:color w:val="auto"/>
          <w:kern w:val="0"/>
          <w:sz w:val="24"/>
          <w:highlight w:val="none"/>
        </w:rPr>
        <w:t>电子邮箱：</w:t>
      </w:r>
      <w:r>
        <w:rPr>
          <w:rFonts w:hint="eastAsia" w:ascii="宋体" w:hAnsi="宋体" w:cs="宋体"/>
          <w:color w:val="auto"/>
          <w:kern w:val="0"/>
          <w:sz w:val="24"/>
          <w:highlight w:val="none"/>
          <w:u w:val="single"/>
        </w:rPr>
        <w:t>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邮政编码：</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开户名称：</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开户银行：</w:t>
      </w:r>
      <w:r>
        <w:rPr>
          <w:rFonts w:hint="eastAsia" w:ascii="宋体" w:hAnsi="宋体" w:cs="宋体"/>
          <w:color w:val="auto"/>
          <w:kern w:val="0"/>
          <w:sz w:val="24"/>
          <w:highlight w:val="none"/>
          <w:u w:val="single"/>
        </w:rPr>
        <w:t xml:space="preserve">                                                    </w:t>
      </w:r>
    </w:p>
    <w:p>
      <w:pPr>
        <w:spacing w:line="460" w:lineRule="exact"/>
        <w:ind w:firstLine="420"/>
        <w:rPr>
          <w:rFonts w:ascii="宋体" w:hAnsi="宋体" w:cs="宋体"/>
          <w:color w:val="auto"/>
          <w:kern w:val="0"/>
          <w:sz w:val="24"/>
          <w:highlight w:val="none"/>
          <w:u w:val="single"/>
        </w:rPr>
      </w:pPr>
      <w:r>
        <w:rPr>
          <w:rFonts w:hint="eastAsia" w:ascii="宋体" w:hAnsi="宋体" w:cs="宋体"/>
          <w:color w:val="auto"/>
          <w:kern w:val="0"/>
          <w:sz w:val="24"/>
          <w:highlight w:val="none"/>
        </w:rPr>
        <w:t>银行账号：</w:t>
      </w:r>
      <w:r>
        <w:rPr>
          <w:rFonts w:hint="eastAsia" w:ascii="宋体" w:hAnsi="宋体" w:cs="宋体"/>
          <w:color w:val="auto"/>
          <w:kern w:val="0"/>
          <w:sz w:val="24"/>
          <w:highlight w:val="none"/>
          <w:u w:val="single"/>
        </w:rPr>
        <w:t xml:space="preserve">                                                    </w:t>
      </w:r>
    </w:p>
    <w:p>
      <w:pPr>
        <w:pStyle w:val="17"/>
        <w:tabs>
          <w:tab w:val="left" w:pos="939"/>
        </w:tabs>
        <w:spacing w:line="460" w:lineRule="exact"/>
        <w:ind w:left="141" w:leftChars="67" w:firstLine="360" w:firstLineChars="150"/>
        <w:rPr>
          <w:rFonts w:ascii="宋体" w:hAnsi="宋体" w:cs="宋体"/>
          <w:color w:val="auto"/>
          <w:sz w:val="24"/>
          <w:highlight w:val="none"/>
        </w:rPr>
      </w:pPr>
      <w:r>
        <w:rPr>
          <w:rFonts w:hint="eastAsia" w:ascii="宋体" w:hAnsi="宋体" w:cs="宋体"/>
          <w:color w:val="auto"/>
          <w:sz w:val="24"/>
          <w:highlight w:val="none"/>
        </w:rPr>
        <w:t>特此承诺。</w:t>
      </w:r>
    </w:p>
    <w:p>
      <w:pPr>
        <w:spacing w:line="360" w:lineRule="auto"/>
        <w:contextualSpacing/>
        <w:jc w:val="left"/>
        <w:rPr>
          <w:rFonts w:ascii="宋体" w:hAnsi="宋体" w:cs="宋体"/>
          <w:color w:val="auto"/>
          <w:szCs w:val="21"/>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spacing w:line="500" w:lineRule="exact"/>
        <w:rPr>
          <w:rFonts w:ascii="宋体" w:hAnsi="宋体" w:cs="宋体"/>
          <w:b/>
          <w:color w:val="auto"/>
          <w:sz w:val="28"/>
          <w:szCs w:val="28"/>
          <w:highlight w:val="none"/>
        </w:rPr>
      </w:pPr>
    </w:p>
    <w:p>
      <w:pPr>
        <w:spacing w:line="500" w:lineRule="exact"/>
        <w:rPr>
          <w:rFonts w:ascii="仿宋" w:hAnsi="仿宋" w:eastAsia="仿宋" w:cs="仿宋_GB2312"/>
          <w:b/>
          <w:color w:val="auto"/>
          <w:sz w:val="30"/>
          <w:szCs w:val="30"/>
          <w:highlight w:val="none"/>
          <w:lang w:val="zh-CN"/>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4.</w:t>
      </w:r>
      <w:r>
        <w:rPr>
          <w:rFonts w:hint="eastAsia" w:ascii="宋体" w:hAnsi="宋体" w:cs="宋体"/>
          <w:b/>
          <w:color w:val="auto"/>
          <w:sz w:val="28"/>
          <w:szCs w:val="28"/>
          <w:highlight w:val="none"/>
          <w:lang w:val="zh-CN"/>
        </w:rPr>
        <w:t>响应报价表的格式：</w:t>
      </w:r>
      <w:r>
        <w:rPr>
          <w:rFonts w:hint="eastAsia" w:ascii="仿宋" w:hAnsi="仿宋" w:eastAsia="仿宋" w:cs="仿宋_GB2312"/>
          <w:b/>
          <w:color w:val="auto"/>
          <w:sz w:val="30"/>
          <w:szCs w:val="30"/>
          <w:highlight w:val="none"/>
          <w:lang w:val="zh-CN"/>
        </w:rPr>
        <w:t xml:space="preserve"> </w:t>
      </w:r>
    </w:p>
    <w:p>
      <w:pPr>
        <w:spacing w:line="520" w:lineRule="exact"/>
        <w:jc w:val="center"/>
        <w:rPr>
          <w:b/>
          <w:bCs/>
          <w:color w:val="auto"/>
          <w:sz w:val="32"/>
          <w:szCs w:val="32"/>
          <w:highlight w:val="none"/>
        </w:rPr>
      </w:pPr>
      <w:r>
        <w:rPr>
          <w:rFonts w:hint="eastAsia"/>
          <w:b/>
          <w:bCs/>
          <w:color w:val="auto"/>
          <w:sz w:val="32"/>
          <w:szCs w:val="32"/>
          <w:highlight w:val="none"/>
        </w:rPr>
        <w:t>响应报价表</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实施周期:</w:t>
            </w:r>
          </w:p>
        </w:tc>
      </w:tr>
    </w:tbl>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pPr>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1、供应商需按本表格式填写，不得自行更改，也不得留空（</w:t>
      </w:r>
      <w:r>
        <w:rPr>
          <w:rFonts w:hint="eastAsia" w:ascii="宋体" w:hAnsi="宋体" w:cs="宋体"/>
          <w:color w:val="auto"/>
          <w:sz w:val="24"/>
          <w:highlight w:val="none"/>
        </w:rPr>
        <w:t>备注除外</w:t>
      </w:r>
      <w:r>
        <w:rPr>
          <w:rFonts w:hint="eastAsia" w:ascii="宋体" w:hAnsi="宋体" w:cs="宋体"/>
          <w:color w:val="auto"/>
          <w:kern w:val="0"/>
          <w:sz w:val="24"/>
          <w:highlight w:val="none"/>
          <w:lang w:val="zh-CN"/>
        </w:rPr>
        <w:t>）, 如有多分标，按分标分别提供响应报价表，</w:t>
      </w:r>
      <w:r>
        <w:rPr>
          <w:rFonts w:hint="eastAsia" w:ascii="宋体" w:hAnsi="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否则其响应按无效响应处理。</w:t>
      </w:r>
    </w:p>
    <w:p>
      <w:pPr>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w:t>
      </w:r>
      <w:r>
        <w:rPr>
          <w:rFonts w:hint="eastAsia" w:ascii="宋体" w:hAnsi="宋体" w:cs="宋体"/>
          <w:color w:val="auto"/>
          <w:kern w:val="0"/>
          <w:sz w:val="24"/>
          <w:highlight w:val="none"/>
        </w:rPr>
        <w:t>请</w:t>
      </w:r>
      <w:r>
        <w:rPr>
          <w:rFonts w:hint="eastAsia" w:ascii="宋体" w:hAnsi="宋体" w:cs="宋体"/>
          <w:color w:val="auto"/>
          <w:sz w:val="24"/>
          <w:highlight w:val="none"/>
        </w:rPr>
        <w:t>根据所竞</w:t>
      </w:r>
      <w:r>
        <w:rPr>
          <w:rFonts w:hint="eastAsia" w:hAnsi="宋体" w:cs="宋体"/>
          <w:color w:val="auto"/>
          <w:sz w:val="24"/>
          <w:highlight w:val="none"/>
        </w:rPr>
        <w:t>服务内容</w:t>
      </w:r>
      <w:r>
        <w:rPr>
          <w:rFonts w:hint="eastAsia" w:ascii="宋体" w:hAnsi="宋体" w:cs="宋体"/>
          <w:color w:val="auto"/>
          <w:sz w:val="24"/>
          <w:highlight w:val="none"/>
        </w:rPr>
        <w:t>，逐条对应本项目竞争性磋商文件“第二章 采购需求”中“技术要求”的</w:t>
      </w:r>
      <w:r>
        <w:rPr>
          <w:rFonts w:hint="eastAsia" w:hAnsi="宋体" w:cs="宋体"/>
          <w:color w:val="auto"/>
          <w:sz w:val="24"/>
          <w:highlight w:val="none"/>
        </w:rPr>
        <w:t>内容</w:t>
      </w:r>
      <w:r>
        <w:rPr>
          <w:rFonts w:hint="eastAsia" w:ascii="宋体" w:hAnsi="宋体" w:cs="宋体"/>
          <w:color w:val="auto"/>
          <w:sz w:val="24"/>
          <w:highlight w:val="none"/>
        </w:rPr>
        <w:t>详细填写相应的具体内容。</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4、特别提示：采购代理机构将对项目名称和项目编号，成交供应商名称、地址和成交金额，主要成交标的的名称、服务范围、服务要求、服务时间、服务标准等予以公示。</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5、符合采购文件中列明的可享受中小企业扶持政策的供应商，请填写中小企业声明函。</w:t>
      </w:r>
    </w:p>
    <w:p>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rPr>
        <w:t>6、</w:t>
      </w:r>
      <w:r>
        <w:rPr>
          <w:rFonts w:hint="eastAsia" w:ascii="宋体" w:hAnsi="宋体" w:cs="宋体"/>
          <w:color w:val="auto"/>
          <w:kern w:val="0"/>
          <w:sz w:val="24"/>
          <w:highlight w:val="none"/>
          <w:lang w:val="zh-CN"/>
        </w:rPr>
        <w:t>供应商提供的中小企业声明函内容不实的，属于提供虚假材料谋取中标、成交，依照《中华人民共和国政府采购法》等国家有关规定追究相应责任。</w:t>
      </w:r>
    </w:p>
    <w:p>
      <w:pPr>
        <w:autoSpaceDE w:val="0"/>
        <w:autoSpaceDN w:val="0"/>
        <w:spacing w:line="360" w:lineRule="auto"/>
        <w:ind w:firstLine="4560" w:firstLineChars="1900"/>
        <w:rPr>
          <w:rFonts w:ascii="宋体" w:hAnsi="宋体" w:cs="宋体"/>
          <w:color w:val="auto"/>
          <w:kern w:val="0"/>
          <w:sz w:val="24"/>
          <w:highlight w:val="none"/>
        </w:rPr>
      </w:pPr>
    </w:p>
    <w:p>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500" w:lineRule="exact"/>
        <w:ind w:firstLine="6360" w:firstLineChars="2650"/>
        <w:rPr>
          <w:rFonts w:ascii="宋体" w:hAnsi="宋体" w:cs="宋体"/>
          <w:color w:val="auto"/>
          <w:kern w:val="0"/>
          <w:sz w:val="24"/>
          <w:szCs w:val="21"/>
          <w:highlight w:val="none"/>
          <w:lang w:val="zh-CN"/>
        </w:rPr>
      </w:pPr>
      <w:r>
        <w:rPr>
          <w:rFonts w:hint="eastAsia" w:ascii="宋体" w:hAnsi="宋体" w:cs="宋体"/>
          <w:color w:val="auto"/>
          <w:kern w:val="0"/>
          <w:sz w:val="24"/>
          <w:szCs w:val="21"/>
          <w:highlight w:val="none"/>
          <w:lang w:val="zh-CN"/>
        </w:rPr>
        <w:t>日期：  年  月   日</w:t>
      </w:r>
    </w:p>
    <w:p>
      <w:pPr>
        <w:spacing w:line="500" w:lineRule="exact"/>
        <w:rPr>
          <w:rFonts w:ascii="仿宋" w:hAnsi="仿宋" w:eastAsia="仿宋" w:cs="仿宋_GB2312"/>
          <w:b/>
          <w:color w:val="auto"/>
          <w:sz w:val="30"/>
          <w:szCs w:val="30"/>
          <w:highlight w:val="none"/>
          <w:lang w:val="zh-CN"/>
        </w:rPr>
      </w:pPr>
      <w:r>
        <w:rPr>
          <w:rFonts w:hint="eastAsia" w:ascii="宋体" w:hAnsi="宋体" w:cs="宋体"/>
          <w:color w:val="auto"/>
          <w:kern w:val="0"/>
          <w:sz w:val="24"/>
          <w:szCs w:val="21"/>
          <w:highlight w:val="none"/>
          <w:lang w:val="zh-CN"/>
        </w:rPr>
        <w:br w:type="page"/>
      </w:r>
      <w:r>
        <w:rPr>
          <w:rFonts w:hint="eastAsia" w:ascii="宋体" w:hAnsi="宋体" w:cs="宋体"/>
          <w:b/>
          <w:color w:val="auto"/>
          <w:sz w:val="28"/>
          <w:szCs w:val="28"/>
          <w:highlight w:val="none"/>
        </w:rPr>
        <w:t>5.</w:t>
      </w:r>
      <w:r>
        <w:rPr>
          <w:rFonts w:hint="eastAsia" w:ascii="宋体" w:hAnsi="宋体" w:cs="宋体"/>
          <w:b/>
          <w:color w:val="auto"/>
          <w:sz w:val="28"/>
          <w:szCs w:val="28"/>
          <w:highlight w:val="none"/>
          <w:lang w:val="zh-CN"/>
        </w:rPr>
        <w:t>最后报价表的格式：</w:t>
      </w:r>
      <w:r>
        <w:rPr>
          <w:rFonts w:hint="eastAsia" w:ascii="仿宋" w:hAnsi="仿宋" w:eastAsia="仿宋" w:cs="仿宋_GB2312"/>
          <w:b/>
          <w:color w:val="auto"/>
          <w:sz w:val="30"/>
          <w:szCs w:val="30"/>
          <w:highlight w:val="none"/>
          <w:lang w:val="zh-CN"/>
        </w:rPr>
        <w:t xml:space="preserve"> </w:t>
      </w:r>
    </w:p>
    <w:p>
      <w:pPr>
        <w:spacing w:line="520" w:lineRule="exact"/>
        <w:ind w:firstLine="420" w:firstLineChars="200"/>
        <w:rPr>
          <w:rFonts w:ascii="Calibri" w:hAnsi="Calibri"/>
          <w:color w:val="auto"/>
          <w:highlight w:val="none"/>
        </w:rPr>
      </w:pPr>
    </w:p>
    <w:p>
      <w:pPr>
        <w:spacing w:line="520" w:lineRule="exact"/>
        <w:jc w:val="center"/>
        <w:rPr>
          <w:b/>
          <w:bCs/>
          <w:color w:val="auto"/>
          <w:sz w:val="32"/>
          <w:szCs w:val="32"/>
          <w:highlight w:val="none"/>
        </w:rPr>
      </w:pPr>
      <w:r>
        <w:rPr>
          <w:rFonts w:hint="eastAsia"/>
          <w:b/>
          <w:bCs/>
          <w:color w:val="auto"/>
          <w:sz w:val="32"/>
          <w:szCs w:val="32"/>
          <w:highlight w:val="none"/>
        </w:rPr>
        <w:t>最后报价表</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所竞分标（如有则填写，无分标时填写“无”或者留空）：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31"/>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065"/>
        <w:gridCol w:w="2299"/>
        <w:gridCol w:w="1492"/>
        <w:gridCol w:w="2057"/>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序号</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20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单价(元/张)</w:t>
            </w:r>
          </w:p>
        </w:tc>
        <w:tc>
          <w:tcPr>
            <w:tcW w:w="11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w:t>
            </w:r>
          </w:p>
        </w:tc>
        <w:tc>
          <w:tcPr>
            <w:tcW w:w="206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广西森林可持续经营年度验收</w:t>
            </w:r>
          </w:p>
        </w:tc>
        <w:tc>
          <w:tcPr>
            <w:tcW w:w="22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按服务需求偏离表中响应文件响应的技术要求提供服务</w:t>
            </w:r>
          </w:p>
        </w:tc>
        <w:tc>
          <w:tcPr>
            <w:tcW w:w="14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highlight w:val="none"/>
              </w:rPr>
            </w:pPr>
            <w:r>
              <w:rPr>
                <w:rFonts w:hint="eastAsia" w:ascii="宋体" w:hAnsi="宋体" w:cs="宋体"/>
                <w:color w:val="auto"/>
                <w:sz w:val="24"/>
                <w:highlight w:val="none"/>
              </w:rPr>
              <w:t>1项</w:t>
            </w:r>
          </w:p>
        </w:tc>
        <w:tc>
          <w:tcPr>
            <w:tcW w:w="205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c>
          <w:tcPr>
            <w:tcW w:w="110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733"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4"/>
                <w:highlight w:val="none"/>
              </w:rPr>
            </w:pPr>
            <w:r>
              <w:rPr>
                <w:rFonts w:hint="eastAsia" w:ascii="宋体" w:hAnsi="宋体" w:cs="宋体"/>
                <w:color w:val="auto"/>
                <w:sz w:val="24"/>
                <w:highlight w:val="none"/>
              </w:rPr>
              <w:t>实施周期:</w:t>
            </w:r>
          </w:p>
        </w:tc>
      </w:tr>
    </w:tbl>
    <w:p>
      <w:pPr>
        <w:rPr>
          <w:color w:val="auto"/>
          <w:highlight w:val="none"/>
        </w:rPr>
      </w:pPr>
    </w:p>
    <w:p>
      <w:pPr>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 xml:space="preserve">                </w:t>
      </w:r>
    </w:p>
    <w:p>
      <w:pPr>
        <w:autoSpaceDE w:val="0"/>
        <w:autoSpaceDN w:val="0"/>
        <w:spacing w:line="360" w:lineRule="auto"/>
        <w:ind w:firstLine="4560" w:firstLineChars="1900"/>
        <w:rPr>
          <w:rFonts w:ascii="宋体" w:hAnsi="宋体" w:cs="宋体"/>
          <w:color w:val="auto"/>
          <w:kern w:val="0"/>
          <w:sz w:val="24"/>
          <w:highlight w:val="none"/>
        </w:rPr>
      </w:pPr>
    </w:p>
    <w:p>
      <w:pPr>
        <w:autoSpaceDE w:val="0"/>
        <w:autoSpaceDN w:val="0"/>
        <w:spacing w:line="360" w:lineRule="auto"/>
        <w:ind w:firstLine="4560" w:firstLineChars="19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spacing w:line="500" w:lineRule="exact"/>
        <w:ind w:firstLine="6360" w:firstLineChars="2650"/>
        <w:rPr>
          <w:rFonts w:ascii="宋体" w:hAnsi="宋体" w:cs="宋体"/>
          <w:color w:val="auto"/>
          <w:sz w:val="24"/>
          <w:highlight w:val="none"/>
          <w:lang w:val="zh-CN"/>
        </w:rPr>
        <w:sectPr>
          <w:pgSz w:w="11911" w:h="16838"/>
          <w:pgMar w:top="1134" w:right="1134" w:bottom="1134" w:left="1134" w:header="720" w:footer="720" w:gutter="0"/>
          <w:cols w:space="720" w:num="1"/>
        </w:sectPr>
      </w:pPr>
      <w:r>
        <w:rPr>
          <w:rFonts w:hint="eastAsia" w:ascii="宋体" w:hAnsi="宋体" w:cs="宋体"/>
          <w:color w:val="auto"/>
          <w:kern w:val="0"/>
          <w:sz w:val="24"/>
          <w:szCs w:val="21"/>
          <w:highlight w:val="none"/>
          <w:lang w:val="zh-CN"/>
        </w:rPr>
        <w:t>日期：</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年</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月</w:t>
      </w:r>
      <w:r>
        <w:rPr>
          <w:rFonts w:hint="eastAsia" w:ascii="宋体" w:hAnsi="宋体" w:cs="宋体"/>
          <w:color w:val="auto"/>
          <w:kern w:val="0"/>
          <w:sz w:val="24"/>
          <w:szCs w:val="21"/>
          <w:highlight w:val="none"/>
        </w:rPr>
        <w:t xml:space="preserve">    </w:t>
      </w:r>
      <w:r>
        <w:rPr>
          <w:rFonts w:hint="eastAsia" w:ascii="宋体" w:hAnsi="宋体" w:cs="宋体"/>
          <w:color w:val="auto"/>
          <w:kern w:val="0"/>
          <w:sz w:val="24"/>
          <w:szCs w:val="21"/>
          <w:highlight w:val="none"/>
          <w:lang w:val="zh-CN"/>
        </w:rPr>
        <w:t>日</w:t>
      </w:r>
    </w:p>
    <w:p>
      <w:pPr>
        <w:pStyle w:val="4"/>
        <w:jc w:val="center"/>
        <w:rPr>
          <w:rFonts w:ascii="宋体" w:hAnsi="宋体"/>
          <w:b w:val="0"/>
          <w:color w:val="auto"/>
          <w:highlight w:val="none"/>
        </w:rPr>
      </w:pPr>
      <w:bookmarkStart w:id="149" w:name="_Toc18482"/>
      <w:bookmarkStart w:id="150" w:name="_Toc80205942"/>
      <w:bookmarkStart w:id="151" w:name="_Toc80886946"/>
      <w:bookmarkStart w:id="152" w:name="_Toc13936"/>
      <w:r>
        <w:rPr>
          <w:rFonts w:hint="eastAsia" w:ascii="宋体" w:hAnsi="宋体"/>
          <w:color w:val="auto"/>
          <w:highlight w:val="none"/>
        </w:rPr>
        <w:t>第四节 其他文书、文件格式</w:t>
      </w:r>
      <w:bookmarkEnd w:id="149"/>
      <w:bookmarkEnd w:id="150"/>
      <w:bookmarkEnd w:id="151"/>
      <w:bookmarkEnd w:id="152"/>
    </w:p>
    <w:p>
      <w:pPr>
        <w:spacing w:line="500" w:lineRule="exact"/>
        <w:rPr>
          <w:rFonts w:ascii="宋体" w:hAnsi="宋体" w:cs="宋体"/>
          <w:b/>
          <w:color w:val="auto"/>
          <w:sz w:val="30"/>
          <w:szCs w:val="30"/>
          <w:highlight w:val="none"/>
          <w:lang w:val="zh-CN"/>
        </w:rPr>
      </w:pPr>
      <w:r>
        <w:rPr>
          <w:rFonts w:hint="eastAsia" w:ascii="宋体" w:hAnsi="宋体" w:cs="宋体"/>
          <w:b/>
          <w:color w:val="auto"/>
          <w:sz w:val="30"/>
          <w:szCs w:val="30"/>
          <w:highlight w:val="none"/>
        </w:rPr>
        <w:t>1.</w:t>
      </w:r>
      <w:r>
        <w:rPr>
          <w:rFonts w:hint="eastAsia" w:ascii="宋体" w:hAnsi="宋体" w:cs="宋体"/>
          <w:b/>
          <w:color w:val="auto"/>
          <w:sz w:val="30"/>
          <w:szCs w:val="30"/>
          <w:highlight w:val="none"/>
          <w:lang w:val="zh-CN"/>
        </w:rPr>
        <w:t>中小企业声明函的格式：</w:t>
      </w:r>
    </w:p>
    <w:p>
      <w:pPr>
        <w:pStyle w:val="22"/>
        <w:rPr>
          <w:rFonts w:ascii="宋体" w:hAnsi="宋体" w:cs="宋体"/>
          <w:color w:val="auto"/>
          <w:highlight w:val="none"/>
        </w:rPr>
      </w:pPr>
    </w:p>
    <w:p>
      <w:pPr>
        <w:spacing w:line="300" w:lineRule="auto"/>
        <w:ind w:firstLine="3520" w:firstLineChars="800"/>
        <w:rPr>
          <w:rFonts w:ascii="宋体" w:hAnsi="宋体" w:cs="宋体"/>
          <w:color w:val="auto"/>
          <w:sz w:val="44"/>
          <w:szCs w:val="44"/>
          <w:highlight w:val="none"/>
        </w:rPr>
      </w:pPr>
      <w:r>
        <w:rPr>
          <w:rFonts w:hint="eastAsia" w:ascii="宋体" w:hAnsi="宋体" w:cs="宋体"/>
          <w:color w:val="auto"/>
          <w:sz w:val="44"/>
          <w:szCs w:val="44"/>
          <w:highlight w:val="none"/>
        </w:rPr>
        <w:t>中小企业声明函</w:t>
      </w:r>
    </w:p>
    <w:p>
      <w:pPr>
        <w:pStyle w:val="2"/>
        <w:spacing w:after="0" w:line="360" w:lineRule="auto"/>
        <w:ind w:left="-426" w:right="142" w:firstLine="640"/>
        <w:contextualSpacing/>
        <w:rPr>
          <w:rFonts w:ascii="宋体" w:hAnsi="宋体" w:cs="宋体"/>
          <w:color w:val="auto"/>
          <w:sz w:val="24"/>
          <w:highlight w:val="none"/>
        </w:rPr>
      </w:pPr>
    </w:p>
    <w:p>
      <w:pPr>
        <w:pStyle w:val="2"/>
        <w:spacing w:after="0" w:line="360" w:lineRule="auto"/>
        <w:ind w:left="-426" w:right="142" w:firstLine="640"/>
        <w:contextualSpacing/>
        <w:rPr>
          <w:rFonts w:ascii="宋体" w:hAnsi="宋体" w:cs="宋体"/>
          <w:color w:val="auto"/>
          <w:sz w:val="24"/>
          <w:highlight w:val="none"/>
        </w:rPr>
      </w:pPr>
      <w:r>
        <w:rPr>
          <w:rFonts w:hint="eastAsia" w:ascii="宋体" w:hAnsi="宋体" w:cs="宋体"/>
          <w:color w:val="auto"/>
          <w:sz w:val="24"/>
          <w:highlight w:val="none"/>
        </w:rPr>
        <w:t>本公司（联合体）郑重声明，根据《政府采购促进中小企业发展管理办法》（财库﹝2020﹞46号）的规定，本公司（联合体）参加</w:t>
      </w:r>
      <w:r>
        <w:rPr>
          <w:rFonts w:hint="eastAsia" w:ascii="宋体" w:hAnsi="宋体" w:cs="宋体"/>
          <w:i/>
          <w:iCs/>
          <w:color w:val="auto"/>
          <w:sz w:val="24"/>
          <w:highlight w:val="none"/>
          <w:u w:val="single"/>
        </w:rPr>
        <w:t>（单位名称）</w:t>
      </w:r>
      <w:r>
        <w:rPr>
          <w:rFonts w:hint="eastAsia" w:ascii="宋体" w:hAnsi="宋体" w:cs="宋体"/>
          <w:color w:val="auto"/>
          <w:sz w:val="24"/>
          <w:highlight w:val="none"/>
        </w:rPr>
        <w:t>的</w:t>
      </w:r>
      <w:r>
        <w:rPr>
          <w:rFonts w:hint="eastAsia" w:ascii="宋体" w:hAnsi="宋体" w:cs="宋体"/>
          <w:i/>
          <w:iCs/>
          <w:color w:val="auto"/>
          <w:sz w:val="24"/>
          <w:highlight w:val="none"/>
          <w:u w:val="single"/>
        </w:rPr>
        <w:t>（项目名称）</w:t>
      </w:r>
      <w:r>
        <w:rPr>
          <w:rFonts w:hint="eastAsia" w:ascii="宋体" w:hAnsi="宋体" w:cs="宋体"/>
          <w:color w:val="auto"/>
          <w:sz w:val="24"/>
          <w:highlight w:val="none"/>
        </w:rPr>
        <w:t>采购活动，</w:t>
      </w:r>
      <w:r>
        <w:rPr>
          <w:rFonts w:hint="eastAsia" w:ascii="宋体" w:hAnsi="宋体" w:cs="宋体"/>
          <w:color w:val="auto"/>
          <w:kern w:val="0"/>
          <w:sz w:val="24"/>
          <w:highlight w:val="none"/>
        </w:rPr>
        <w:t>服务全部由符合政策要求的中小企业承接</w:t>
      </w:r>
      <w:r>
        <w:rPr>
          <w:rFonts w:hint="eastAsia" w:ascii="宋体" w:hAnsi="宋体" w:cs="宋体"/>
          <w:color w:val="auto"/>
          <w:sz w:val="24"/>
          <w:highlight w:val="none"/>
        </w:rPr>
        <w:t>。相关企业（含联合体中的</w:t>
      </w:r>
      <w:r>
        <w:rPr>
          <w:rFonts w:hint="eastAsia" w:ascii="宋体" w:hAnsi="宋体" w:cs="宋体"/>
          <w:color w:val="auto"/>
          <w:kern w:val="0"/>
          <w:sz w:val="24"/>
          <w:highlight w:val="none"/>
        </w:rPr>
        <w:t>中小</w:t>
      </w:r>
      <w:r>
        <w:rPr>
          <w:rFonts w:hint="eastAsia" w:ascii="宋体" w:hAnsi="宋体" w:cs="宋体"/>
          <w:color w:val="auto"/>
          <w:sz w:val="24"/>
          <w:highlight w:val="none"/>
        </w:rPr>
        <w:t>企业、签订分包意向协议的中小企业）的具体情况如下：</w:t>
      </w:r>
    </w:p>
    <w:p>
      <w:pPr>
        <w:tabs>
          <w:tab w:val="left" w:pos="1384"/>
          <w:tab w:val="left" w:pos="4562"/>
          <w:tab w:val="left" w:pos="6803"/>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tabs>
          <w:tab w:val="left" w:pos="1065"/>
          <w:tab w:val="left" w:pos="6477"/>
        </w:tabs>
        <w:spacing w:line="360" w:lineRule="auto"/>
        <w:ind w:left="-426" w:right="-58" w:firstLine="655"/>
        <w:contextualSpacing/>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标的名称</w:t>
      </w:r>
      <w:r>
        <w:rPr>
          <w:rFonts w:hint="eastAsia" w:ascii="宋体" w:hAnsi="宋体" w:cs="宋体"/>
          <w:color w:val="auto"/>
          <w:sz w:val="24"/>
          <w:highlight w:val="none"/>
          <w:u w:val="single"/>
        </w:rPr>
        <w:t>）</w:t>
      </w:r>
      <w:r>
        <w:rPr>
          <w:rFonts w:hint="eastAsia" w:ascii="宋体" w:hAnsi="宋体" w:cs="宋体"/>
          <w:color w:val="auto"/>
          <w:sz w:val="24"/>
          <w:highlight w:val="none"/>
        </w:rPr>
        <w:t>，属于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采购文件中明确的所属行业</w:t>
      </w:r>
      <w:r>
        <w:rPr>
          <w:rFonts w:hint="eastAsia" w:ascii="宋体" w:hAnsi="宋体" w:cs="宋体"/>
          <w:color w:val="auto"/>
          <w:sz w:val="24"/>
          <w:highlight w:val="none"/>
          <w:u w:val="single"/>
        </w:rPr>
        <w:t>）</w:t>
      </w:r>
      <w:r>
        <w:rPr>
          <w:rFonts w:hint="eastAsia" w:ascii="宋体" w:hAnsi="宋体" w:cs="宋体"/>
          <w:color w:val="auto"/>
          <w:sz w:val="24"/>
          <w:highlight w:val="none"/>
        </w:rPr>
        <w:t>；</w:t>
      </w:r>
      <w:r>
        <w:rPr>
          <w:rFonts w:hint="eastAsia" w:ascii="宋体" w:hAnsi="宋体" w:cs="宋体"/>
          <w:color w:val="auto"/>
          <w:kern w:val="0"/>
          <w:sz w:val="24"/>
          <w:highlight w:val="none"/>
        </w:rPr>
        <w:t>承建（承接）企业</w:t>
      </w:r>
      <w:r>
        <w:rPr>
          <w:rFonts w:hint="eastAsia" w:ascii="宋体" w:hAnsi="宋体" w:cs="宋体"/>
          <w:color w:val="auto"/>
          <w:sz w:val="24"/>
          <w:highlight w:val="none"/>
        </w:rPr>
        <w:t>为</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企业名称</w:t>
      </w:r>
      <w:r>
        <w:rPr>
          <w:rFonts w:hint="eastAsia" w:ascii="宋体" w:hAnsi="宋体" w:cs="宋体"/>
          <w:color w:val="auto"/>
          <w:sz w:val="24"/>
          <w:highlight w:val="none"/>
          <w:u w:val="single"/>
        </w:rPr>
        <w:t>）</w:t>
      </w:r>
      <w:r>
        <w:rPr>
          <w:rFonts w:hint="eastAsia" w:ascii="宋体" w:hAnsi="宋体" w:cs="宋体"/>
          <w:color w:val="auto"/>
          <w:sz w:val="24"/>
          <w:highlight w:val="none"/>
        </w:rPr>
        <w:t>，从业人员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w:t>
      </w:r>
      <w:r>
        <w:rPr>
          <w:rFonts w:hint="eastAsia" w:ascii="宋体" w:hAnsi="宋体" w:cs="宋体"/>
          <w:i/>
          <w:iCs/>
          <w:color w:val="auto"/>
          <w:sz w:val="24"/>
          <w:highlight w:val="none"/>
          <w:u w:val="single"/>
        </w:rPr>
        <w:t>中型企业、小型企业、微型企业</w:t>
      </w:r>
      <w:r>
        <w:rPr>
          <w:rFonts w:hint="eastAsia" w:ascii="宋体" w:hAnsi="宋体" w:cs="宋体"/>
          <w:color w:val="auto"/>
          <w:sz w:val="24"/>
          <w:highlight w:val="none"/>
          <w:u w:val="single"/>
        </w:rPr>
        <w:t>）</w:t>
      </w:r>
      <w:r>
        <w:rPr>
          <w:rFonts w:hint="eastAsia" w:ascii="宋体" w:hAnsi="宋体" w:cs="宋体"/>
          <w:color w:val="auto"/>
          <w:sz w:val="24"/>
          <w:highlight w:val="none"/>
        </w:rPr>
        <w:t>；</w:t>
      </w:r>
    </w:p>
    <w:p>
      <w:pPr>
        <w:pStyle w:val="2"/>
        <w:spacing w:after="0" w:line="360" w:lineRule="auto"/>
        <w:ind w:left="142" w:right="142"/>
        <w:contextualSpacing/>
        <w:rPr>
          <w:rFonts w:ascii="宋体" w:hAnsi="宋体" w:cs="宋体"/>
          <w:color w:val="auto"/>
          <w:sz w:val="24"/>
          <w:highlight w:val="none"/>
        </w:rPr>
      </w:pPr>
      <w:r>
        <w:rPr>
          <w:rFonts w:hint="eastAsia" w:ascii="宋体" w:hAnsi="宋体" w:cs="宋体"/>
          <w:color w:val="auto"/>
          <w:sz w:val="24"/>
          <w:highlight w:val="none"/>
        </w:rPr>
        <w:t xml:space="preserve">…… </w:t>
      </w:r>
    </w:p>
    <w:p>
      <w:pPr>
        <w:pStyle w:val="2"/>
        <w:spacing w:after="0" w:line="360" w:lineRule="auto"/>
        <w:ind w:left="-405" w:leftChars="-193" w:right="142" w:firstLine="453" w:firstLineChars="189"/>
        <w:contextualSpacing/>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pPr>
        <w:pStyle w:val="2"/>
        <w:spacing w:after="0" w:line="360" w:lineRule="auto"/>
        <w:ind w:left="-426" w:right="142" w:firstLine="567"/>
        <w:contextualSpacing/>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pPr>
        <w:pStyle w:val="2"/>
        <w:spacing w:after="0" w:line="360" w:lineRule="auto"/>
        <w:ind w:left="3960" w:right="1808"/>
        <w:contextualSpacing/>
        <w:rPr>
          <w:rFonts w:ascii="宋体" w:hAnsi="宋体" w:cs="宋体"/>
          <w:color w:val="auto"/>
          <w:sz w:val="24"/>
          <w:highlight w:val="none"/>
        </w:rPr>
      </w:pPr>
    </w:p>
    <w:p>
      <w:pPr>
        <w:autoSpaceDE w:val="0"/>
        <w:autoSpaceDN w:val="0"/>
        <w:spacing w:line="360" w:lineRule="auto"/>
        <w:ind w:left="4335" w:leftChars="1950" w:hanging="240" w:hangingChars="100"/>
        <w:rPr>
          <w:rFonts w:ascii="宋体" w:hAnsi="宋体" w:cs="宋体"/>
          <w:color w:val="auto"/>
          <w:kern w:val="0"/>
          <w:sz w:val="24"/>
          <w:highlight w:val="none"/>
        </w:rPr>
      </w:pPr>
      <w:r>
        <w:rPr>
          <w:rFonts w:hint="eastAsia" w:ascii="宋体" w:hAnsi="宋体" w:cs="宋体"/>
          <w:color w:val="auto"/>
          <w:kern w:val="0"/>
          <w:sz w:val="24"/>
          <w:highlight w:val="none"/>
        </w:rPr>
        <w:t>供应商名称（盖公章）：</w:t>
      </w:r>
    </w:p>
    <w:p>
      <w:pPr>
        <w:autoSpaceDE w:val="0"/>
        <w:autoSpaceDN w:val="0"/>
        <w:spacing w:line="360" w:lineRule="auto"/>
        <w:ind w:firstLine="6480" w:firstLineChars="27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pPr>
        <w:pStyle w:val="2"/>
        <w:spacing w:after="0" w:line="360" w:lineRule="auto"/>
        <w:ind w:left="3960" w:right="1808"/>
        <w:contextualSpacing/>
        <w:rPr>
          <w:rFonts w:ascii="宋体" w:hAnsi="宋体" w:cs="宋体"/>
          <w:color w:val="auto"/>
          <w:highlight w:val="none"/>
        </w:rPr>
      </w:pPr>
    </w:p>
    <w:p>
      <w:pPr>
        <w:spacing w:line="360" w:lineRule="auto"/>
        <w:ind w:firstLine="480" w:firstLineChars="200"/>
        <w:contextualSpacing/>
        <w:jc w:val="left"/>
        <w:rPr>
          <w:rFonts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中小企业扶持政策的，采购人或者采购代理机构应当随成交结果公开成交供应商的《中小企业声明函》，接受社会监督。从业人员、营业收入、资产总额填报上一年度数据，无上一年度数据的新成立企业可不填报。</w:t>
      </w:r>
    </w:p>
    <w:p>
      <w:pPr>
        <w:snapToGrid w:val="0"/>
        <w:spacing w:before="120" w:beforeLines="50" w:after="50" w:line="360" w:lineRule="auto"/>
        <w:outlineLvl w:val="1"/>
        <w:rPr>
          <w:rFonts w:ascii="宋体" w:hAnsi="宋体" w:cs="宋体"/>
          <w:b/>
          <w:bCs/>
          <w:color w:val="auto"/>
          <w:sz w:val="32"/>
          <w:szCs w:val="32"/>
          <w:highlight w:val="none"/>
        </w:rPr>
        <w:sectPr>
          <w:pgSz w:w="11911" w:h="16838"/>
          <w:pgMar w:top="1134" w:right="1134" w:bottom="1134" w:left="1134" w:header="720" w:footer="720" w:gutter="0"/>
          <w:cols w:space="720" w:num="1"/>
        </w:sectPr>
      </w:pPr>
    </w:p>
    <w:p>
      <w:pPr>
        <w:spacing w:line="520" w:lineRule="exact"/>
        <w:rPr>
          <w:rFonts w:hAnsi="宋体" w:cs="宋体"/>
          <w:b/>
          <w:color w:val="auto"/>
          <w:sz w:val="28"/>
          <w:szCs w:val="28"/>
          <w:highlight w:val="none"/>
        </w:rPr>
      </w:pPr>
      <w:r>
        <w:rPr>
          <w:rFonts w:hint="eastAsia" w:ascii="宋体" w:hAnsi="宋体" w:cs="宋体"/>
          <w:b/>
          <w:color w:val="auto"/>
          <w:sz w:val="28"/>
          <w:szCs w:val="28"/>
          <w:highlight w:val="none"/>
        </w:rPr>
        <w:t>2.</w:t>
      </w:r>
      <w:r>
        <w:rPr>
          <w:rFonts w:hint="eastAsia" w:hAnsi="宋体" w:cs="宋体"/>
          <w:b/>
          <w:color w:val="auto"/>
          <w:sz w:val="28"/>
          <w:szCs w:val="28"/>
          <w:highlight w:val="none"/>
        </w:rPr>
        <w:t>残疾人福利性单位声明函的格式：</w:t>
      </w:r>
    </w:p>
    <w:p>
      <w:pPr>
        <w:pStyle w:val="22"/>
        <w:rPr>
          <w:color w:val="auto"/>
          <w:highlight w:val="none"/>
        </w:rPr>
      </w:pPr>
    </w:p>
    <w:p>
      <w:pPr>
        <w:spacing w:line="520" w:lineRule="exact"/>
        <w:jc w:val="center"/>
        <w:rPr>
          <w:rFonts w:ascii="仿宋" w:hAnsi="仿宋" w:eastAsia="仿宋" w:cs="仿宋"/>
          <w:color w:val="auto"/>
          <w:sz w:val="44"/>
          <w:szCs w:val="44"/>
          <w:highlight w:val="none"/>
        </w:rPr>
      </w:pPr>
    </w:p>
    <w:p>
      <w:pPr>
        <w:spacing w:line="520" w:lineRule="exact"/>
        <w:jc w:val="center"/>
        <w:rPr>
          <w:rFonts w:ascii="仿宋" w:hAnsi="仿宋" w:eastAsia="仿宋" w:cs="仿宋"/>
          <w:color w:val="auto"/>
          <w:sz w:val="44"/>
          <w:szCs w:val="44"/>
          <w:highlight w:val="none"/>
        </w:rPr>
      </w:pPr>
    </w:p>
    <w:p>
      <w:pPr>
        <w:spacing w:line="520" w:lineRule="exact"/>
        <w:jc w:val="center"/>
        <w:rPr>
          <w:rFonts w:ascii="宋体" w:hAnsi="宋体" w:cs="宋体"/>
          <w:b/>
          <w:bCs/>
          <w:color w:val="auto"/>
          <w:sz w:val="36"/>
          <w:szCs w:val="36"/>
          <w:highlight w:val="none"/>
        </w:rPr>
      </w:pPr>
      <w:r>
        <w:rPr>
          <w:rFonts w:hint="eastAsia" w:ascii="宋体" w:hAnsi="宋体" w:cs="宋体"/>
          <w:b/>
          <w:bCs/>
          <w:color w:val="auto"/>
          <w:sz w:val="36"/>
          <w:szCs w:val="36"/>
          <w:highlight w:val="none"/>
        </w:rPr>
        <w:t>残疾人福利性单位声明函</w:t>
      </w:r>
    </w:p>
    <w:p>
      <w:pPr>
        <w:spacing w:line="520" w:lineRule="exact"/>
        <w:rPr>
          <w:rFonts w:ascii="宋体" w:hAnsi="宋体" w:cs="宋体"/>
          <w:color w:val="auto"/>
          <w:sz w:val="32"/>
          <w:szCs w:val="32"/>
          <w:highlight w:val="none"/>
        </w:rPr>
      </w:pPr>
    </w:p>
    <w:p>
      <w:pPr>
        <w:spacing w:line="360" w:lineRule="auto"/>
        <w:ind w:firstLine="480" w:firstLineChars="200"/>
        <w:contextualSpacing/>
        <w:rPr>
          <w:rFonts w:ascii="宋体" w:hAnsi="宋体" w:cs="宋体"/>
          <w:color w:val="auto"/>
          <w:sz w:val="24"/>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2400" w:firstLineChars="1000"/>
        <w:contextualSpacing/>
        <w:rPr>
          <w:rFonts w:ascii="宋体" w:hAnsi="宋体" w:cs="宋体"/>
          <w:color w:val="auto"/>
          <w:sz w:val="24"/>
          <w:highlight w:val="none"/>
        </w:rPr>
      </w:pPr>
      <w:r>
        <w:rPr>
          <w:rFonts w:hint="eastAsia" w:ascii="宋体" w:hAnsi="宋体" w:cs="宋体"/>
          <w:color w:val="auto"/>
          <w:sz w:val="24"/>
          <w:highlight w:val="none"/>
        </w:rPr>
        <w:t>供应商名称（盖公章）：</w:t>
      </w:r>
    </w:p>
    <w:p>
      <w:pPr>
        <w:spacing w:line="360" w:lineRule="auto"/>
        <w:ind w:firstLine="4320" w:firstLineChars="1800"/>
        <w:contextualSpacing/>
        <w:rPr>
          <w:rFonts w:ascii="宋体" w:hAnsi="宋体" w:cs="宋体"/>
          <w:color w:val="auto"/>
          <w:sz w:val="24"/>
          <w:highlight w:val="none"/>
        </w:rPr>
      </w:pPr>
      <w:r>
        <w:rPr>
          <w:rFonts w:hint="eastAsia" w:ascii="宋体" w:hAnsi="宋体" w:cs="宋体"/>
          <w:color w:val="auto"/>
          <w:sz w:val="24"/>
          <w:highlight w:val="none"/>
        </w:rPr>
        <w:t>日  期：     年   月   日</w:t>
      </w: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contextualSpacing/>
        <w:rPr>
          <w:rFonts w:ascii="宋体" w:hAnsi="宋体" w:cs="宋体"/>
          <w:color w:val="auto"/>
          <w:sz w:val="24"/>
          <w:highlight w:val="none"/>
        </w:rPr>
      </w:pPr>
    </w:p>
    <w:p>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注：请根据自己的真实情况出具《残疾人福利性单位声明函》。依法享受中小企业扶持政策的，采购人或者采购代理机构在公告成交结果时，同时公告其《残疾人福利性单位声明函》，接受社会监督。</w:t>
      </w:r>
    </w:p>
    <w:p>
      <w:pPr>
        <w:widowControl/>
        <w:shd w:val="clear" w:color="auto" w:fill="FFFFFF"/>
        <w:spacing w:line="480" w:lineRule="atLeast"/>
        <w:rPr>
          <w:rFonts w:ascii="宋体" w:hAnsi="宋体" w:cs="宋体"/>
          <w:color w:val="auto"/>
          <w:kern w:val="0"/>
          <w:sz w:val="28"/>
          <w:szCs w:val="28"/>
          <w:highlight w:val="none"/>
        </w:rPr>
      </w:pPr>
      <w:r>
        <w:rPr>
          <w:rFonts w:hint="eastAsia" w:ascii="宋体" w:hAnsi="宋体" w:cs="宋体"/>
          <w:color w:val="auto"/>
          <w:sz w:val="24"/>
          <w:highlight w:val="none"/>
        </w:rPr>
        <w:br w:type="page"/>
      </w:r>
      <w:r>
        <w:rPr>
          <w:rFonts w:hint="eastAsia" w:ascii="宋体" w:hAnsi="宋体" w:cs="宋体"/>
          <w:color w:val="auto"/>
          <w:sz w:val="28"/>
          <w:szCs w:val="28"/>
          <w:highlight w:val="none"/>
        </w:rPr>
        <w:t>3.</w:t>
      </w:r>
      <w:r>
        <w:rPr>
          <w:rFonts w:hint="eastAsia" w:ascii="宋体" w:hAnsi="宋体" w:cs="宋体"/>
          <w:color w:val="auto"/>
          <w:kern w:val="0"/>
          <w:sz w:val="28"/>
          <w:szCs w:val="28"/>
          <w:highlight w:val="none"/>
        </w:rPr>
        <w:t>广西壮族自治区政府采购项目合同验收书的格式：</w:t>
      </w:r>
    </w:p>
    <w:p>
      <w:pPr>
        <w:spacing w:line="360" w:lineRule="auto"/>
        <w:ind w:firstLine="480" w:firstLineChars="200"/>
        <w:contextualSpacing/>
        <w:rPr>
          <w:rFonts w:cs="仿宋_GB2312"/>
          <w:color w:val="auto"/>
          <w:sz w:val="24"/>
          <w:highlight w:val="none"/>
        </w:rPr>
      </w:pPr>
    </w:p>
    <w:p>
      <w:pPr>
        <w:widowControl/>
        <w:shd w:val="clear" w:color="auto" w:fill="FFFFFF"/>
        <w:spacing w:line="480" w:lineRule="atLeast"/>
        <w:jc w:val="center"/>
        <w:rPr>
          <w:rFonts w:ascii="仿宋" w:hAnsi="仿宋" w:eastAsia="仿宋"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w:t>
      </w:r>
    </w:p>
    <w:p>
      <w:pPr>
        <w:widowControl/>
        <w:shd w:val="clear" w:color="auto" w:fill="FFFFFF"/>
        <w:spacing w:line="480" w:lineRule="atLeast"/>
        <w:jc w:val="center"/>
        <w:rPr>
          <w:rFonts w:ascii="仿宋" w:hAnsi="仿宋" w:eastAsia="仿宋" w:cs="宋体"/>
          <w:color w:val="auto"/>
          <w:kern w:val="0"/>
          <w:sz w:val="32"/>
          <w:szCs w:val="32"/>
          <w:highlight w:val="none"/>
        </w:rPr>
      </w:pPr>
    </w:p>
    <w:p>
      <w:pPr>
        <w:widowControl/>
        <w:shd w:val="clear" w:color="auto" w:fill="FFFFFF"/>
        <w:snapToGrid w:val="0"/>
        <w:spacing w:line="32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政府采购项目成交供应商（</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31"/>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hint="eastAsia" w:ascii="宋体" w:hAnsi="宋体" w:cs="宋体"/>
                <w:color w:val="auto"/>
                <w:kern w:val="0"/>
                <w:szCs w:val="21"/>
                <w:highlight w:val="none"/>
              </w:rPr>
              <w:t>□</w:t>
            </w:r>
            <w:r>
              <w:rPr>
                <w:rFonts w:ascii="Verdana" w:hAnsi="Verdana" w:cs="宋体"/>
                <w:color w:val="auto"/>
                <w:kern w:val="0"/>
                <w:szCs w:val="21"/>
                <w:highlight w:val="none"/>
              </w:rPr>
              <w:t xml:space="preserve">自行验收 </w:t>
            </w:r>
            <w:r>
              <w:rPr>
                <w:rFonts w:hint="eastAsia" w:ascii="宋体" w:hAnsi="宋体" w:cs="宋体"/>
                <w:color w:val="auto"/>
                <w:kern w:val="0"/>
                <w:szCs w:val="21"/>
                <w:highlight w:val="none"/>
              </w:rPr>
              <w:t>□</w:t>
            </w:r>
            <w:r>
              <w:rPr>
                <w:rFonts w:ascii="Verdana" w:hAnsi="Verdana" w:cs="宋体"/>
                <w:color w:val="auto"/>
                <w:kern w:val="0"/>
                <w:szCs w:val="21"/>
                <w:highlight w:val="none"/>
              </w:rPr>
              <w:t>委托验收</w:t>
            </w:r>
          </w:p>
        </w:tc>
      </w:tr>
      <w:tr>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金额</w:t>
            </w: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万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仟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佰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拾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元</w:t>
            </w:r>
          </w:p>
        </w:tc>
      </w:tr>
      <w:tr>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pPr>
              <w:widowControl/>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pPr>
              <w:widowControl/>
              <w:spacing w:before="100" w:beforeAutospacing="1" w:after="100" w:afterAutospacing="1" w:line="240" w:lineRule="atLeast"/>
              <w:jc w:val="center"/>
              <w:rPr>
                <w:rFonts w:ascii="Verdana" w:hAnsi="Verdana" w:cs="宋体"/>
                <w:color w:val="auto"/>
                <w:kern w:val="0"/>
                <w:szCs w:val="21"/>
                <w:highlight w:val="none"/>
              </w:rPr>
            </w:pPr>
          </w:p>
        </w:tc>
      </w:tr>
      <w:tr>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pPr>
              <w:widowControl/>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pPr>
              <w:widowControl/>
              <w:jc w:val="left"/>
              <w:rPr>
                <w:rFonts w:ascii="Verdana" w:hAnsi="Verdana"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w:t>
            </w:r>
            <w:r>
              <w:rPr>
                <w:rFonts w:hint="eastAsia" w:ascii="Verdana" w:hAnsi="Verdana" w:cs="宋体"/>
                <w:color w:val="auto"/>
                <w:kern w:val="0"/>
                <w:szCs w:val="21"/>
                <w:highlight w:val="none"/>
              </w:rPr>
              <w:t>其他</w:t>
            </w:r>
            <w:r>
              <w:rPr>
                <w:rFonts w:ascii="Verdana" w:hAnsi="Verdana" w:cs="宋体"/>
                <w:color w:val="auto"/>
                <w:kern w:val="0"/>
                <w:szCs w:val="21"/>
                <w:highlight w:val="none"/>
              </w:rPr>
              <w:t>相关人员签字：</w:t>
            </w:r>
          </w:p>
          <w:p>
            <w:pPr>
              <w:widowControl/>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成交供应商负责人签字或者盖章：</w:t>
            </w:r>
          </w:p>
          <w:p>
            <w:pPr>
              <w:widowControl/>
              <w:spacing w:before="100" w:beforeAutospacing="1" w:after="100" w:afterAutospacing="1" w:line="320" w:lineRule="atLeast"/>
              <w:jc w:val="left"/>
              <w:rPr>
                <w:rFonts w:ascii="Verdana" w:hAnsi="Verdana" w:cs="宋体"/>
                <w:color w:val="auto"/>
                <w:kern w:val="0"/>
                <w:szCs w:val="21"/>
                <w:highlight w:val="none"/>
              </w:rPr>
            </w:pPr>
          </w:p>
          <w:p>
            <w:pPr>
              <w:widowControl/>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 </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日</w:t>
            </w:r>
          </w:p>
        </w:tc>
        <w:tc>
          <w:tcPr>
            <w:tcW w:w="4293" w:type="dxa"/>
            <w:gridSpan w:val="4"/>
            <w:tcBorders>
              <w:top w:val="nil"/>
              <w:left w:val="nil"/>
              <w:bottom w:val="single" w:color="auto" w:sz="8" w:space="0"/>
              <w:right w:val="single" w:color="auto" w:sz="8" w:space="0"/>
            </w:tcBorders>
            <w:vAlign w:val="center"/>
          </w:tcPr>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p>
          <w:p>
            <w:pPr>
              <w:widowControl/>
              <w:spacing w:before="100" w:beforeAutospacing="1" w:after="100" w:afterAutospacing="1" w:line="320" w:lineRule="atLeast"/>
              <w:ind w:firstLine="210" w:firstLineChars="100"/>
              <w:jc w:val="left"/>
              <w:rPr>
                <w:rFonts w:ascii="Verdana" w:hAnsi="Verdana" w:cs="宋体"/>
                <w:color w:val="auto"/>
                <w:kern w:val="0"/>
                <w:szCs w:val="21"/>
                <w:highlight w:val="none"/>
              </w:rPr>
            </w:pPr>
            <w:r>
              <w:rPr>
                <w:rFonts w:ascii="Verdana" w:hAnsi="Verdana" w:cs="宋体"/>
                <w:color w:val="auto"/>
                <w:kern w:val="0"/>
                <w:szCs w:val="21"/>
                <w:highlight w:val="none"/>
              </w:rPr>
              <w:t>联系电话：</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年</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月</w:t>
            </w:r>
            <w:r>
              <w:rPr>
                <w:rFonts w:hint="eastAsia" w:ascii="Verdana" w:hAnsi="Verdana" w:cs="宋体"/>
                <w:color w:val="auto"/>
                <w:kern w:val="0"/>
                <w:szCs w:val="21"/>
                <w:highlight w:val="none"/>
              </w:rPr>
              <w:t xml:space="preserve"> </w:t>
            </w:r>
            <w:r>
              <w:rPr>
                <w:rFonts w:ascii="Verdana" w:hAnsi="Verdana" w:cs="宋体"/>
                <w:color w:val="auto"/>
                <w:kern w:val="0"/>
                <w:szCs w:val="21"/>
                <w:highlight w:val="none"/>
              </w:rPr>
              <w:t xml:space="preserve"> 日</w:t>
            </w:r>
          </w:p>
        </w:tc>
      </w:tr>
    </w:tbl>
    <w:p>
      <w:pPr>
        <w:rPr>
          <w:rFonts w:ascii="宋体" w:hAnsi="宋体" w:cs="宋体"/>
          <w:color w:val="auto"/>
          <w:sz w:val="28"/>
          <w:szCs w:val="28"/>
          <w:highlight w:val="none"/>
        </w:rPr>
      </w:pPr>
      <w:r>
        <w:rPr>
          <w:rFonts w:hAnsi="宋体"/>
          <w:color w:val="auto"/>
          <w:highlight w:val="none"/>
        </w:rPr>
        <w:br w:type="page"/>
      </w:r>
      <w:r>
        <w:rPr>
          <w:rFonts w:hint="eastAsia" w:ascii="宋体" w:hAnsi="宋体" w:cs="宋体"/>
          <w:color w:val="auto"/>
          <w:sz w:val="28"/>
          <w:szCs w:val="28"/>
          <w:highlight w:val="none"/>
        </w:rPr>
        <w:t>4.政府采购项目履约保证金退付意见书的格式：</w:t>
      </w:r>
    </w:p>
    <w:p>
      <w:pPr>
        <w:pStyle w:val="19"/>
        <w:snapToGrid w:val="0"/>
        <w:rPr>
          <w:rFonts w:ascii="黑体" w:hAnsi="黑体" w:eastAsia="黑体" w:cs="黑体"/>
          <w:color w:val="auto"/>
          <w:sz w:val="32"/>
          <w:szCs w:val="32"/>
          <w:highlight w:val="none"/>
        </w:rPr>
      </w:pPr>
    </w:p>
    <w:p>
      <w:pPr>
        <w:pStyle w:val="11"/>
        <w:rPr>
          <w:color w:val="auto"/>
          <w:highlight w:val="none"/>
        </w:rPr>
      </w:pPr>
    </w:p>
    <w:p>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政府采购项目履约保证金退付意见书（参考）</w:t>
      </w:r>
    </w:p>
    <w:p>
      <w:pPr>
        <w:jc w:val="center"/>
        <w:rPr>
          <w:rFonts w:ascii="黑体" w:hAnsi="黑体" w:eastAsia="黑体"/>
          <w:color w:val="auto"/>
          <w:sz w:val="36"/>
          <w:szCs w:val="36"/>
          <w:highlight w:val="none"/>
        </w:rPr>
      </w:pPr>
    </w:p>
    <w:tbl>
      <w:tblPr>
        <w:tblStyle w:val="31"/>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pPr>
              <w:jc w:val="center"/>
              <w:rPr>
                <w:color w:val="auto"/>
                <w:sz w:val="24"/>
                <w:highlight w:val="none"/>
              </w:rPr>
            </w:pPr>
            <w:r>
              <w:rPr>
                <w:rFonts w:hint="eastAsia"/>
                <w:color w:val="auto"/>
                <w:sz w:val="24"/>
                <w:highlight w:val="none"/>
              </w:rPr>
              <w:t>供</w:t>
            </w:r>
          </w:p>
          <w:p>
            <w:pPr>
              <w:jc w:val="center"/>
              <w:rPr>
                <w:color w:val="auto"/>
                <w:sz w:val="24"/>
                <w:highlight w:val="none"/>
              </w:rPr>
            </w:pPr>
            <w:r>
              <w:rPr>
                <w:rFonts w:hint="eastAsia"/>
                <w:color w:val="auto"/>
                <w:sz w:val="24"/>
                <w:highlight w:val="none"/>
              </w:rPr>
              <w:t>应</w:t>
            </w:r>
          </w:p>
          <w:p>
            <w:pPr>
              <w:jc w:val="center"/>
              <w:rPr>
                <w:color w:val="auto"/>
                <w:sz w:val="24"/>
                <w:highlight w:val="none"/>
              </w:rPr>
            </w:pPr>
            <w:r>
              <w:rPr>
                <w:rFonts w:hint="eastAsia"/>
                <w:color w:val="auto"/>
                <w:sz w:val="24"/>
                <w:highlight w:val="none"/>
              </w:rPr>
              <w:t>商</w:t>
            </w:r>
          </w:p>
          <w:p>
            <w:pPr>
              <w:jc w:val="center"/>
              <w:rPr>
                <w:color w:val="auto"/>
                <w:sz w:val="24"/>
                <w:highlight w:val="none"/>
              </w:rPr>
            </w:pPr>
            <w:r>
              <w:rPr>
                <w:rFonts w:hint="eastAsia"/>
                <w:color w:val="auto"/>
                <w:sz w:val="24"/>
                <w:highlight w:val="none"/>
              </w:rPr>
              <w:t>申</w:t>
            </w:r>
          </w:p>
          <w:p>
            <w:pPr>
              <w:jc w:val="center"/>
              <w:rPr>
                <w:color w:val="auto"/>
                <w:sz w:val="24"/>
                <w:highlight w:val="none"/>
              </w:rPr>
            </w:pPr>
            <w:r>
              <w:rPr>
                <w:rFonts w:hint="eastAsia"/>
                <w:color w:val="auto"/>
                <w:sz w:val="24"/>
                <w:highlight w:val="none"/>
              </w:rPr>
              <w:t>请</w:t>
            </w:r>
          </w:p>
        </w:tc>
        <w:tc>
          <w:tcPr>
            <w:tcW w:w="8009" w:type="dxa"/>
            <w:vAlign w:val="center"/>
          </w:tcPr>
          <w:p>
            <w:pPr>
              <w:rPr>
                <w:color w:val="auto"/>
                <w:sz w:val="24"/>
                <w:highlight w:val="none"/>
              </w:rPr>
            </w:pPr>
            <w:r>
              <w:rPr>
                <w:rFonts w:hint="eastAsia"/>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pPr>
              <w:rPr>
                <w:color w:val="auto"/>
                <w:sz w:val="24"/>
                <w:highlight w:val="none"/>
              </w:rPr>
            </w:pPr>
          </w:p>
        </w:tc>
        <w:tc>
          <w:tcPr>
            <w:tcW w:w="8009" w:type="dxa"/>
            <w:vAlign w:val="center"/>
          </w:tcPr>
          <w:p>
            <w:pPr>
              <w:rPr>
                <w:color w:val="auto"/>
                <w:sz w:val="24"/>
                <w:highlight w:val="none"/>
              </w:rPr>
            </w:pPr>
            <w:r>
              <w:rPr>
                <w:rFonts w:hint="eastAsia"/>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pPr>
              <w:rPr>
                <w:color w:val="auto"/>
                <w:sz w:val="24"/>
                <w:highlight w:val="none"/>
              </w:rPr>
            </w:pPr>
          </w:p>
        </w:tc>
        <w:tc>
          <w:tcPr>
            <w:tcW w:w="8009" w:type="dxa"/>
          </w:tcPr>
          <w:p>
            <w:pPr>
              <w:rPr>
                <w:color w:val="auto"/>
                <w:sz w:val="24"/>
                <w:highlight w:val="none"/>
              </w:rPr>
            </w:pPr>
            <w:r>
              <w:rPr>
                <w:rFonts w:hint="eastAsia"/>
                <w:color w:val="auto"/>
                <w:sz w:val="24"/>
                <w:highlight w:val="none"/>
              </w:rPr>
              <w:t xml:space="preserve">  </w:t>
            </w:r>
          </w:p>
          <w:p>
            <w:pPr>
              <w:ind w:firstLine="480" w:firstLineChars="200"/>
              <w:rPr>
                <w:color w:val="auto"/>
                <w:sz w:val="24"/>
                <w:highlight w:val="none"/>
              </w:rPr>
            </w:pPr>
            <w:r>
              <w:rPr>
                <w:rFonts w:hint="eastAsia"/>
                <w:color w:val="auto"/>
                <w:sz w:val="24"/>
                <w:highlight w:val="none"/>
              </w:rPr>
              <w:t>该项目已于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日验收并交付使用。根据合同规定，该项目的履约保证金期限于</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日已满，请将履约保证金</w:t>
            </w:r>
          </w:p>
          <w:p>
            <w:pPr>
              <w:rPr>
                <w:color w:val="auto"/>
                <w:sz w:val="24"/>
                <w:highlight w:val="none"/>
              </w:rPr>
            </w:pPr>
            <w:r>
              <w:rPr>
                <w:rFonts w:hint="eastAsia"/>
                <w:color w:val="auto"/>
                <w:sz w:val="24"/>
                <w:highlight w:val="none"/>
              </w:rPr>
              <w:t>（大写）</w:t>
            </w:r>
            <w:r>
              <w:rPr>
                <w:rFonts w:hint="eastAsia"/>
                <w:color w:val="auto"/>
                <w:sz w:val="24"/>
                <w:highlight w:val="none"/>
                <w:u w:val="single"/>
              </w:rPr>
              <w:t xml:space="preserve">人民币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退付到达以下账户。</w:t>
            </w:r>
          </w:p>
          <w:p>
            <w:pPr>
              <w:rPr>
                <w:color w:val="auto"/>
                <w:sz w:val="24"/>
                <w:highlight w:val="none"/>
              </w:rPr>
            </w:pPr>
            <w:r>
              <w:rPr>
                <w:rFonts w:hint="eastAsia"/>
                <w:color w:val="auto"/>
                <w:sz w:val="24"/>
                <w:highlight w:val="none"/>
              </w:rPr>
              <w:t>单位名称：</w:t>
            </w:r>
          </w:p>
          <w:p>
            <w:pPr>
              <w:rPr>
                <w:color w:val="auto"/>
                <w:sz w:val="24"/>
                <w:highlight w:val="none"/>
              </w:rPr>
            </w:pPr>
            <w:r>
              <w:rPr>
                <w:rFonts w:hint="eastAsia"/>
                <w:color w:val="auto"/>
                <w:sz w:val="24"/>
                <w:highlight w:val="none"/>
              </w:rPr>
              <w:t>开户银行：</w:t>
            </w:r>
          </w:p>
          <w:p>
            <w:pPr>
              <w:rPr>
                <w:color w:val="auto"/>
                <w:sz w:val="24"/>
                <w:highlight w:val="none"/>
              </w:rPr>
            </w:pPr>
            <w:r>
              <w:rPr>
                <w:rFonts w:hint="eastAsia"/>
                <w:color w:val="auto"/>
                <w:sz w:val="24"/>
                <w:highlight w:val="none"/>
              </w:rPr>
              <w:t>账    号：</w:t>
            </w:r>
          </w:p>
          <w:p>
            <w:pPr>
              <w:rPr>
                <w:color w:val="auto"/>
                <w:sz w:val="24"/>
                <w:highlight w:val="none"/>
              </w:rPr>
            </w:pPr>
            <w:r>
              <w:rPr>
                <w:rFonts w:hint="eastAsia"/>
                <w:color w:val="auto"/>
                <w:sz w:val="24"/>
                <w:highlight w:val="none"/>
              </w:rPr>
              <w:t>联系人及电话：</w:t>
            </w:r>
          </w:p>
          <w:p>
            <w:pPr>
              <w:rPr>
                <w:color w:val="auto"/>
                <w:sz w:val="24"/>
                <w:highlight w:val="none"/>
              </w:rPr>
            </w:pPr>
          </w:p>
          <w:p>
            <w:pPr>
              <w:jc w:val="center"/>
              <w:rPr>
                <w:color w:val="auto"/>
                <w:sz w:val="24"/>
                <w:highlight w:val="none"/>
              </w:rPr>
            </w:pPr>
            <w:r>
              <w:rPr>
                <w:rFonts w:hint="eastAsia"/>
                <w:color w:val="auto"/>
                <w:sz w:val="24"/>
                <w:highlight w:val="none"/>
              </w:rPr>
              <w:t xml:space="preserve">                           供应商签章：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pPr>
              <w:jc w:val="center"/>
              <w:rPr>
                <w:color w:val="auto"/>
                <w:sz w:val="24"/>
                <w:highlight w:val="none"/>
              </w:rPr>
            </w:pPr>
            <w:r>
              <w:rPr>
                <w:rFonts w:hint="eastAsia"/>
                <w:color w:val="auto"/>
                <w:sz w:val="24"/>
                <w:highlight w:val="none"/>
              </w:rPr>
              <w:t>采</w:t>
            </w:r>
          </w:p>
          <w:p>
            <w:pPr>
              <w:jc w:val="center"/>
              <w:rPr>
                <w:color w:val="auto"/>
                <w:sz w:val="24"/>
                <w:highlight w:val="none"/>
              </w:rPr>
            </w:pPr>
            <w:r>
              <w:rPr>
                <w:rFonts w:hint="eastAsia"/>
                <w:color w:val="auto"/>
                <w:sz w:val="24"/>
                <w:highlight w:val="none"/>
              </w:rPr>
              <w:t>购</w:t>
            </w:r>
          </w:p>
          <w:p>
            <w:pPr>
              <w:jc w:val="center"/>
              <w:rPr>
                <w:color w:val="auto"/>
                <w:sz w:val="24"/>
                <w:highlight w:val="none"/>
              </w:rPr>
            </w:pPr>
            <w:r>
              <w:rPr>
                <w:rFonts w:hint="eastAsia"/>
                <w:color w:val="auto"/>
                <w:sz w:val="24"/>
                <w:highlight w:val="none"/>
              </w:rPr>
              <w:t>单</w:t>
            </w:r>
          </w:p>
          <w:p>
            <w:pPr>
              <w:jc w:val="center"/>
              <w:rPr>
                <w:color w:val="auto"/>
                <w:sz w:val="24"/>
                <w:highlight w:val="none"/>
              </w:rPr>
            </w:pPr>
            <w:r>
              <w:rPr>
                <w:rFonts w:hint="eastAsia"/>
                <w:color w:val="auto"/>
                <w:sz w:val="24"/>
                <w:highlight w:val="none"/>
              </w:rPr>
              <w:t>位</w:t>
            </w:r>
          </w:p>
          <w:p>
            <w:pPr>
              <w:jc w:val="center"/>
              <w:rPr>
                <w:color w:val="auto"/>
                <w:sz w:val="24"/>
                <w:highlight w:val="none"/>
              </w:rPr>
            </w:pPr>
            <w:r>
              <w:rPr>
                <w:rFonts w:hint="eastAsia"/>
                <w:color w:val="auto"/>
                <w:sz w:val="24"/>
                <w:highlight w:val="none"/>
              </w:rPr>
              <w:t>意</w:t>
            </w:r>
          </w:p>
          <w:p>
            <w:pPr>
              <w:jc w:val="center"/>
              <w:rPr>
                <w:color w:val="auto"/>
                <w:sz w:val="24"/>
                <w:highlight w:val="none"/>
              </w:rPr>
            </w:pPr>
            <w:r>
              <w:rPr>
                <w:rFonts w:hint="eastAsia"/>
                <w:color w:val="auto"/>
                <w:sz w:val="24"/>
                <w:highlight w:val="none"/>
              </w:rPr>
              <w:t>见</w:t>
            </w:r>
          </w:p>
        </w:tc>
        <w:tc>
          <w:tcPr>
            <w:tcW w:w="8009" w:type="dxa"/>
          </w:tcPr>
          <w:p>
            <w:pPr>
              <w:rPr>
                <w:color w:val="auto"/>
                <w:sz w:val="24"/>
                <w:highlight w:val="none"/>
              </w:rPr>
            </w:pPr>
          </w:p>
          <w:p>
            <w:pPr>
              <w:rPr>
                <w:color w:val="auto"/>
                <w:sz w:val="24"/>
                <w:highlight w:val="none"/>
              </w:rPr>
            </w:pPr>
            <w:r>
              <w:rPr>
                <w:rFonts w:hint="eastAsia"/>
                <w:color w:val="auto"/>
                <w:sz w:val="24"/>
                <w:highlight w:val="none"/>
              </w:rPr>
              <w:t>退付意见：是否同意退付履约保证金及退付金额：</w:t>
            </w:r>
          </w:p>
          <w:p>
            <w:pPr>
              <w:rPr>
                <w:color w:val="auto"/>
                <w:sz w:val="24"/>
                <w:highlight w:val="none"/>
              </w:rPr>
            </w:pPr>
          </w:p>
          <w:p>
            <w:pPr>
              <w:rPr>
                <w:color w:val="auto"/>
                <w:sz w:val="24"/>
                <w:highlight w:val="none"/>
              </w:rPr>
            </w:pPr>
          </w:p>
          <w:p>
            <w:pPr>
              <w:rPr>
                <w:color w:val="auto"/>
                <w:sz w:val="24"/>
                <w:highlight w:val="none"/>
              </w:rPr>
            </w:pPr>
            <w:r>
              <w:rPr>
                <w:rFonts w:hint="eastAsia"/>
                <w:color w:val="auto"/>
                <w:sz w:val="24"/>
                <w:highlight w:val="none"/>
              </w:rPr>
              <w:t xml:space="preserve">联系人及电话：                                </w:t>
            </w:r>
          </w:p>
          <w:p>
            <w:pPr>
              <w:rPr>
                <w:color w:val="auto"/>
                <w:sz w:val="24"/>
                <w:highlight w:val="none"/>
              </w:rPr>
            </w:pPr>
          </w:p>
          <w:p>
            <w:pPr>
              <w:ind w:firstLine="4560" w:firstLineChars="1900"/>
              <w:rPr>
                <w:color w:val="auto"/>
                <w:sz w:val="24"/>
                <w:highlight w:val="none"/>
              </w:rPr>
            </w:pPr>
            <w:r>
              <w:rPr>
                <w:rFonts w:hint="eastAsia"/>
                <w:color w:val="auto"/>
                <w:sz w:val="24"/>
                <w:highlight w:val="none"/>
              </w:rPr>
              <w:t xml:space="preserve"> 采购人签章：</w:t>
            </w:r>
          </w:p>
          <w:p>
            <w:pPr>
              <w:jc w:val="center"/>
              <w:rPr>
                <w:color w:val="auto"/>
                <w:sz w:val="24"/>
                <w:highlight w:val="none"/>
              </w:rPr>
            </w:pPr>
            <w:r>
              <w:rPr>
                <w:rFonts w:hint="eastAsia"/>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jc w:val="center"/>
        </w:trPr>
        <w:tc>
          <w:tcPr>
            <w:tcW w:w="817" w:type="dxa"/>
            <w:vAlign w:val="center"/>
          </w:tcPr>
          <w:p>
            <w:pPr>
              <w:jc w:val="center"/>
              <w:rPr>
                <w:color w:val="auto"/>
                <w:sz w:val="24"/>
                <w:highlight w:val="none"/>
              </w:rPr>
            </w:pPr>
            <w:r>
              <w:rPr>
                <w:rFonts w:hint="eastAsia"/>
                <w:color w:val="auto"/>
                <w:sz w:val="24"/>
                <w:highlight w:val="none"/>
              </w:rPr>
              <w:t>备注</w:t>
            </w:r>
          </w:p>
        </w:tc>
        <w:tc>
          <w:tcPr>
            <w:tcW w:w="8009" w:type="dxa"/>
          </w:tcPr>
          <w:p>
            <w:pPr>
              <w:rPr>
                <w:color w:val="auto"/>
                <w:sz w:val="24"/>
                <w:highlight w:val="none"/>
              </w:rPr>
            </w:pPr>
          </w:p>
        </w:tc>
      </w:tr>
    </w:tbl>
    <w:p>
      <w:pPr>
        <w:pStyle w:val="2"/>
        <w:ind w:left="1" w:firstLine="1" w:firstLineChars="1"/>
        <w:rPr>
          <w:rFonts w:ascii="宋体"/>
          <w:b/>
          <w:bCs/>
          <w:color w:val="auto"/>
          <w:sz w:val="18"/>
          <w:szCs w:val="18"/>
          <w:highlight w:val="none"/>
        </w:rPr>
      </w:pPr>
    </w:p>
    <w:p>
      <w:pPr>
        <w:pStyle w:val="2"/>
        <w:ind w:left="1" w:firstLine="1" w:firstLineChars="1"/>
        <w:rPr>
          <w:rFonts w:ascii="宋体"/>
          <w:b/>
          <w:bCs/>
          <w:color w:val="auto"/>
          <w:sz w:val="18"/>
          <w:szCs w:val="18"/>
          <w:highlight w:val="none"/>
        </w:rPr>
      </w:pPr>
      <w:r>
        <w:rPr>
          <w:rFonts w:hint="eastAsia" w:ascii="宋体"/>
          <w:b/>
          <w:bCs/>
          <w:color w:val="auto"/>
          <w:sz w:val="18"/>
          <w:szCs w:val="18"/>
          <w:highlight w:val="none"/>
        </w:rPr>
        <w:t>　　　注：供应商凭经采购人审批的退付意见书到履约保证金收取单位财务部门办理履约保证金退付事宜。</w:t>
      </w:r>
    </w:p>
    <w:p>
      <w:pPr>
        <w:shd w:val="clear" w:color="auto" w:fill="FFFFFF"/>
        <w:spacing w:line="360" w:lineRule="auto"/>
        <w:ind w:firstLine="2349" w:firstLineChars="1300"/>
        <w:jc w:val="left"/>
        <w:rPr>
          <w:color w:val="auto"/>
          <w:sz w:val="24"/>
          <w:highlight w:val="none"/>
        </w:rPr>
      </w:pPr>
      <w:r>
        <w:rPr>
          <w:rFonts w:hint="eastAsia" w:ascii="宋体"/>
          <w:b/>
          <w:bCs/>
          <w:color w:val="auto"/>
          <w:sz w:val="18"/>
          <w:szCs w:val="18"/>
          <w:highlight w:val="none"/>
        </w:rPr>
        <w:br w:type="page"/>
      </w:r>
    </w:p>
    <w:p>
      <w:pPr>
        <w:pStyle w:val="3"/>
        <w:jc w:val="center"/>
        <w:rPr>
          <w:b w:val="0"/>
          <w:bCs w:val="0"/>
          <w:color w:val="auto"/>
          <w:highlight w:val="none"/>
        </w:rPr>
      </w:pPr>
      <w:bookmarkStart w:id="153" w:name="_Toc15154"/>
      <w:bookmarkStart w:id="154" w:name="_Toc15161"/>
      <w:bookmarkStart w:id="155" w:name="_Toc80886947"/>
      <w:bookmarkStart w:id="156" w:name="_Toc9343"/>
      <w:bookmarkStart w:id="157" w:name="_Toc24786"/>
      <w:bookmarkStart w:id="158" w:name="_Toc4005"/>
      <w:bookmarkStart w:id="159" w:name="_Toc18676"/>
      <w:bookmarkStart w:id="160" w:name="_Toc12748"/>
    </w:p>
    <w:p>
      <w:pPr>
        <w:pStyle w:val="3"/>
        <w:jc w:val="center"/>
        <w:rPr>
          <w:b w:val="0"/>
          <w:bCs w:val="0"/>
          <w:color w:val="auto"/>
          <w:highlight w:val="none"/>
        </w:rPr>
      </w:pPr>
    </w:p>
    <w:p>
      <w:pPr>
        <w:pStyle w:val="3"/>
        <w:jc w:val="center"/>
        <w:rPr>
          <w:b w:val="0"/>
          <w:bCs w:val="0"/>
          <w:color w:val="auto"/>
          <w:highlight w:val="none"/>
        </w:rPr>
      </w:pPr>
    </w:p>
    <w:p>
      <w:pPr>
        <w:pStyle w:val="3"/>
        <w:jc w:val="center"/>
        <w:rPr>
          <w:b w:val="0"/>
          <w:bCs w:val="0"/>
          <w:color w:val="auto"/>
          <w:highlight w:val="none"/>
        </w:rPr>
      </w:pPr>
      <w:r>
        <w:rPr>
          <w:rFonts w:hint="eastAsia"/>
          <w:b w:val="0"/>
          <w:bCs w:val="0"/>
          <w:color w:val="auto"/>
          <w:highlight w:val="none"/>
        </w:rPr>
        <w:t xml:space="preserve">第六章 </w:t>
      </w:r>
      <w:r>
        <w:rPr>
          <w:b w:val="0"/>
          <w:bCs w:val="0"/>
          <w:color w:val="auto"/>
          <w:highlight w:val="none"/>
        </w:rPr>
        <w:t xml:space="preserve"> </w:t>
      </w:r>
      <w:r>
        <w:rPr>
          <w:rFonts w:hint="eastAsia"/>
          <w:b w:val="0"/>
          <w:bCs w:val="0"/>
          <w:color w:val="auto"/>
          <w:highlight w:val="none"/>
        </w:rPr>
        <w:t>合同文本</w:t>
      </w:r>
      <w:bookmarkEnd w:id="153"/>
      <w:bookmarkEnd w:id="154"/>
      <w:bookmarkEnd w:id="155"/>
      <w:bookmarkEnd w:id="156"/>
      <w:bookmarkEnd w:id="157"/>
      <w:bookmarkEnd w:id="158"/>
      <w:bookmarkEnd w:id="159"/>
    </w:p>
    <w:p>
      <w:pPr>
        <w:snapToGrid w:val="0"/>
        <w:rPr>
          <w:rFonts w:ascii="宋体" w:hAnsi="宋体" w:cs="宋体"/>
          <w:b/>
          <w:bCs/>
          <w:color w:val="auto"/>
          <w:sz w:val="32"/>
          <w:szCs w:val="32"/>
          <w:highlight w:val="none"/>
        </w:rPr>
      </w:pPr>
      <w:r>
        <w:rPr>
          <w:b/>
          <w:bCs/>
          <w:color w:val="auto"/>
          <w:highlight w:val="none"/>
        </w:rPr>
        <w:br w:type="page"/>
      </w:r>
      <w:bookmarkEnd w:id="160"/>
    </w:p>
    <w:p>
      <w:pPr>
        <w:snapToGrid w:val="0"/>
        <w:spacing w:line="480" w:lineRule="exact"/>
        <w:jc w:val="center"/>
        <w:rPr>
          <w:rFonts w:ascii="宋体" w:hAnsi="宋体"/>
          <w:b/>
          <w:bCs/>
          <w:color w:val="auto"/>
          <w:sz w:val="32"/>
          <w:szCs w:val="32"/>
          <w:highlight w:val="none"/>
        </w:rPr>
      </w:pPr>
    </w:p>
    <w:p>
      <w:pPr>
        <w:snapToGrid w:val="0"/>
        <w:spacing w:line="480" w:lineRule="exact"/>
        <w:jc w:val="center"/>
        <w:rPr>
          <w:rFonts w:ascii="宋体" w:hAnsi="宋体"/>
          <w:b/>
          <w:bCs/>
          <w:color w:val="auto"/>
          <w:sz w:val="32"/>
          <w:szCs w:val="32"/>
          <w:highlight w:val="none"/>
        </w:rPr>
      </w:pPr>
      <w:bookmarkStart w:id="161" w:name="OLE_LINK11"/>
      <w:r>
        <w:rPr>
          <w:rFonts w:hint="eastAsia" w:ascii="宋体" w:hAnsi="宋体"/>
          <w:b/>
          <w:bCs/>
          <w:color w:val="auto"/>
          <w:sz w:val="32"/>
          <w:szCs w:val="32"/>
          <w:highlight w:val="none"/>
        </w:rPr>
        <w:t>《广西壮族自治区政府采购合同》</w:t>
      </w:r>
    </w:p>
    <w:bookmarkEnd w:id="161"/>
    <w:p>
      <w:pPr>
        <w:snapToGrid w:val="0"/>
        <w:spacing w:line="480" w:lineRule="exact"/>
        <w:ind w:right="480" w:firstLine="5250" w:firstLineChars="2500"/>
        <w:rPr>
          <w:rFonts w:ascii="宋体" w:hAnsi="宋体"/>
          <w:bCs/>
          <w:color w:val="auto"/>
          <w:szCs w:val="21"/>
          <w:highlight w:val="none"/>
        </w:rPr>
      </w:pPr>
    </w:p>
    <w:p>
      <w:pPr>
        <w:spacing w:line="500" w:lineRule="exact"/>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bCs/>
          <w:color w:val="auto"/>
          <w:szCs w:val="21"/>
          <w:highlight w:val="none"/>
        </w:rPr>
        <w:t>合同编号：</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成交供应商（乙方）：</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r>
        <w:rPr>
          <w:rFonts w:hint="eastAsia" w:ascii="宋体" w:hAnsi="宋体" w:cs="宋体"/>
          <w:color w:val="auto"/>
          <w:szCs w:val="21"/>
          <w:highlight w:val="none"/>
        </w:rPr>
        <w:t>项目编号：</w:t>
      </w:r>
      <w:r>
        <w:rPr>
          <w:rFonts w:ascii="宋体" w:hAnsi="宋体" w:cs="宋体"/>
          <w:color w:val="auto"/>
          <w:szCs w:val="21"/>
          <w:highlight w:val="none"/>
          <w:u w:val="single"/>
        </w:rPr>
        <w:t xml:space="preserve">                          </w:t>
      </w:r>
    </w:p>
    <w:p>
      <w:pPr>
        <w:spacing w:line="500" w:lineRule="exact"/>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p>
    <w:p>
      <w:pPr>
        <w:spacing w:line="500" w:lineRule="exact"/>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根据《中华人民共和国政府采购法》《中华人民共和国民法典》等法律、法规规定，按照采购</w:t>
      </w:r>
      <w:r>
        <w:rPr>
          <w:rFonts w:hint="eastAsia" w:ascii="宋体" w:hAnsi="宋体"/>
          <w:color w:val="auto"/>
          <w:szCs w:val="21"/>
          <w:highlight w:val="none"/>
        </w:rPr>
        <w:t>文件规定条款和乙方响应文件及其承诺，甲乙双方签订本合同。</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pPr>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1、项目一览表</w:t>
      </w:r>
    </w:p>
    <w:tbl>
      <w:tblPr>
        <w:tblStyle w:val="31"/>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010"/>
        <w:gridCol w:w="2463"/>
        <w:gridCol w:w="912"/>
        <w:gridCol w:w="863"/>
        <w:gridCol w:w="1312"/>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  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总 </w:t>
            </w:r>
            <w:r>
              <w:rPr>
                <w:rFonts w:ascii="宋体" w:hAnsi="宋体" w:cs="宋体"/>
                <w:color w:val="auto"/>
                <w:szCs w:val="21"/>
                <w:highlight w:val="none"/>
              </w:rPr>
              <w:t xml:space="preserve"> </w:t>
            </w:r>
            <w:r>
              <w:rPr>
                <w:rFonts w:hint="eastAsia" w:ascii="宋体" w:hAnsi="宋体" w:cs="宋体"/>
                <w:color w:val="auto"/>
                <w:szCs w:val="21"/>
                <w:highlight w:val="none"/>
              </w:rPr>
              <w:t>价</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5"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24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8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c>
          <w:tcPr>
            <w:tcW w:w="12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9543"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人民币合计金额（大写）：</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元整（¥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tc>
      </w:tr>
    </w:tbl>
    <w:p>
      <w:pPr>
        <w:pStyle w:val="22"/>
        <w:rPr>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合同合计金额包括但不限于满足本次竞标全部采购需求所应提供的服务，以及伴随的货物和工程（如有）的价格；包含竞标服务、货物、工程的成本、运输（含保险）、安装（如有）、调试、检验、技术服务、培训、税费等所有费用。如磋商文件对其另有规定的，从其规定。</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pPr>
        <w:snapToGrid w:val="0"/>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乙方需配合甲方做好绩效考核。</w:t>
      </w:r>
    </w:p>
    <w:p>
      <w:pPr>
        <w:spacing w:line="500" w:lineRule="exact"/>
        <w:ind w:firstLine="421" w:firstLineChars="200"/>
        <w:rPr>
          <w:rFonts w:ascii="宋体" w:hAnsi="宋体" w:cs="宋体"/>
          <w:color w:val="auto"/>
          <w:szCs w:val="21"/>
          <w:highlight w:val="none"/>
        </w:rPr>
      </w:pPr>
      <w:bookmarkStart w:id="162" w:name="OLE_LINK10"/>
      <w:r>
        <w:rPr>
          <w:rFonts w:hint="eastAsia" w:ascii="宋体" w:hAnsi="宋体" w:cs="宋体"/>
          <w:b/>
          <w:color w:val="auto"/>
          <w:szCs w:val="21"/>
          <w:highlight w:val="none"/>
        </w:rPr>
        <w:t>第三条　权利保证</w:t>
      </w:r>
    </w:p>
    <w:bookmarkEnd w:id="162"/>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bookmarkStart w:id="163" w:name="OLE_LINK12"/>
      <w:r>
        <w:rPr>
          <w:rFonts w:hint="eastAsia" w:ascii="宋体" w:hAnsi="宋体" w:cs="宋体"/>
          <w:color w:val="auto"/>
          <w:szCs w:val="21"/>
          <w:highlight w:val="none"/>
        </w:rPr>
        <w:t>乙方应在提供服务前进行详细的知识产权审查，确保所提供服务的合法性和合规性。如乙方违反上述保证，应向甲方支付相当于合同金额20%的违约金，如该违约金不足以弥补甲方因此遭受的损失，乙方还应赔偿甲方因此遭受的全部损失。</w:t>
      </w:r>
      <w:bookmarkEnd w:id="163"/>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bookmarkStart w:id="164" w:name="OLE_LINK13"/>
      <w:r>
        <w:rPr>
          <w:rFonts w:hint="eastAsia" w:ascii="宋体" w:hAnsi="宋体" w:cs="宋体"/>
          <w:color w:val="auto"/>
          <w:szCs w:val="21"/>
          <w:highlight w:val="none"/>
        </w:rPr>
        <w:t>如乙方违反保密义务，应承担全部责任，包括但不限于直接损失、间接损失、律师费、财产保全保函费、鉴定费等</w:t>
      </w:r>
      <w:bookmarkEnd w:id="164"/>
      <w:r>
        <w:rPr>
          <w:rFonts w:hint="eastAsia" w:ascii="宋体" w:hAnsi="宋体" w:cs="宋体"/>
          <w:color w:val="auto"/>
          <w:szCs w:val="21"/>
          <w:highlight w:val="none"/>
        </w:rPr>
        <w:t>。</w:t>
      </w:r>
    </w:p>
    <w:p>
      <w:pPr>
        <w:spacing w:line="500" w:lineRule="exact"/>
        <w:ind w:firstLine="421" w:firstLineChars="200"/>
        <w:rPr>
          <w:rFonts w:ascii="宋体" w:hAnsi="宋体" w:cs="宋体"/>
          <w:color w:val="auto"/>
          <w:szCs w:val="21"/>
          <w:highlight w:val="none"/>
        </w:rPr>
      </w:pPr>
      <w:r>
        <w:rPr>
          <w:rFonts w:hint="eastAsia" w:ascii="宋体" w:hAnsi="宋体" w:cs="宋体"/>
          <w:b/>
          <w:color w:val="auto"/>
          <w:szCs w:val="21"/>
          <w:highlight w:val="none"/>
        </w:rPr>
        <w:t>第四条　成果交付</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合同履约期限</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pacing w:line="500" w:lineRule="exact"/>
        <w:ind w:firstLine="630" w:firstLineChars="300"/>
        <w:rPr>
          <w:rFonts w:ascii="宋体" w:hAnsi="宋体" w:cs="宋体"/>
          <w:color w:val="auto"/>
          <w:szCs w:val="21"/>
          <w:highlight w:val="none"/>
        </w:rPr>
      </w:pPr>
      <w:r>
        <w:rPr>
          <w:rFonts w:hint="eastAsia" w:ascii="宋体" w:hAnsi="宋体"/>
          <w:color w:val="auto"/>
          <w:szCs w:val="21"/>
          <w:highlight w:val="none"/>
        </w:rPr>
        <w:t>服务地点</w:t>
      </w:r>
      <w:r>
        <w:rPr>
          <w:rFonts w:hint="eastAsia" w:ascii="宋体" w:hAnsi="宋体" w:cs="宋体"/>
          <w:color w:val="auto"/>
          <w:szCs w:val="21"/>
          <w:highlight w:val="none"/>
        </w:rPr>
        <w:t>：</w:t>
      </w:r>
      <w:r>
        <w:rPr>
          <w:rFonts w:hint="eastAsia" w:ascii="宋体" w:hAnsi="宋体" w:cs="宋体"/>
          <w:color w:val="auto"/>
          <w:szCs w:val="21"/>
          <w:highlight w:val="none"/>
          <w:u w:val="single"/>
        </w:rPr>
        <w:t>广西境内（甲方指定地点）</w:t>
      </w:r>
      <w:r>
        <w:rPr>
          <w:rFonts w:hint="eastAsia" w:ascii="宋体" w:hAnsi="宋体" w:cs="宋体"/>
          <w:color w:val="auto"/>
          <w:szCs w:val="21"/>
          <w:highlight w:val="none"/>
        </w:rPr>
        <w:t>。</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2、乙方应按响应文件的承诺向甲方提供相应的服务，并提供所服务内容的相关技术资料。</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响应文件和本合同规定的服务成果，甲方有权拒绝接受，并要求乙方在接到甲方通知后的3个工作日内重新提供符合要求的服务，并支付相当于合同金额20%的违约金。若乙方未能在规定时间内完成补救措施，甲方有权解除合同并要求乙方赔偿因此造成的全部损失。</w:t>
      </w:r>
    </w:p>
    <w:p>
      <w:pPr>
        <w:spacing w:line="500" w:lineRule="exact"/>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 xml:space="preserve">第五条  </w:t>
      </w:r>
      <w:r>
        <w:rPr>
          <w:rFonts w:hint="eastAsia" w:ascii="宋体" w:hAnsi="宋体" w:cs="宋体"/>
          <w:b/>
          <w:color w:val="auto"/>
          <w:szCs w:val="21"/>
          <w:highlight w:val="none"/>
        </w:rPr>
        <w:t>售后服务及培训</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bookmarkStart w:id="165" w:name="OLE_LINK5"/>
      <w:r>
        <w:rPr>
          <w:rFonts w:hint="eastAsia" w:ascii="宋体" w:hAnsi="宋体" w:cs="宋体"/>
          <w:color w:val="auto"/>
          <w:szCs w:val="21"/>
          <w:highlight w:val="none"/>
        </w:rPr>
        <w:t>售后服务方案</w:t>
      </w:r>
      <w:bookmarkEnd w:id="165"/>
      <w:r>
        <w:rPr>
          <w:rFonts w:hint="eastAsia" w:ascii="宋体" w:hAnsi="宋体" w:cs="宋体"/>
          <w:color w:val="auto"/>
          <w:szCs w:val="21"/>
          <w:highlight w:val="none"/>
        </w:rPr>
        <w:t>》要求为甲方提供相应的售后服务。</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3、乙方负责甲方有关人员的培训（如有）。培训时间、地点：</w:t>
      </w:r>
      <w:r>
        <w:rPr>
          <w:rFonts w:hint="eastAsia" w:ascii="宋体" w:hAnsi="宋体" w:cs="宋体"/>
          <w:color w:val="auto"/>
          <w:szCs w:val="21"/>
          <w:highlight w:val="none"/>
          <w:u w:val="single"/>
        </w:rPr>
        <w:t xml:space="preserve">甲方指定时间及地点 </w:t>
      </w:r>
      <w:r>
        <w:rPr>
          <w:rFonts w:hint="eastAsia" w:ascii="宋体" w:hAnsi="宋体" w:cs="宋体"/>
          <w:color w:val="auto"/>
          <w:szCs w:val="21"/>
          <w:highlight w:val="none"/>
        </w:rPr>
        <w:t>。</w:t>
      </w:r>
    </w:p>
    <w:p>
      <w:pPr>
        <w:spacing w:line="500" w:lineRule="exact"/>
        <w:ind w:firstLine="421" w:firstLineChars="200"/>
        <w:rPr>
          <w:rFonts w:ascii="宋体" w:hAnsi="宋体" w:cs="宋体"/>
          <w:b/>
          <w:bCs/>
          <w:color w:val="auto"/>
          <w:szCs w:val="21"/>
          <w:highlight w:val="none"/>
        </w:rPr>
      </w:pPr>
      <w:r>
        <w:rPr>
          <w:rFonts w:hint="eastAsia" w:ascii="宋体" w:hAnsi="宋体" w:cs="宋体"/>
          <w:b/>
          <w:bCs/>
          <w:color w:val="auto"/>
          <w:szCs w:val="21"/>
          <w:highlight w:val="none"/>
        </w:rPr>
        <w:t>第六条  付款方式</w:t>
      </w:r>
    </w:p>
    <w:p>
      <w:pPr>
        <w:spacing w:line="500" w:lineRule="exact"/>
        <w:ind w:firstLine="420" w:firstLineChars="200"/>
        <w:rPr>
          <w:rFonts w:ascii="宋体" w:hAnsi="宋体" w:cs="宋体"/>
          <w:bCs/>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bCs/>
          <w:color w:val="auto"/>
          <w:szCs w:val="21"/>
          <w:highlight w:val="none"/>
        </w:rPr>
        <w:t>。</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本项目不收取履约保证金。</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本合同执行中相关的一切税费均由乙方负担，合同另有约定的除外。</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除不可抗力原因外，乙方没有按照合同规定的时间提供服务或履行其他合同义务的，甲方可要求乙方支付违约金。每推迟一天提供服务按合同金额的3‰支付违约金，该违约金累计不超过合同金额的10%。如乙方未能履行其他合同义务（如技术支持、售后服务等），甲方有权要求乙方支付合同金额20%的违约金。若乙方延迟超过3天，甲方有权解除合同并要求乙方赔偿因此造成的全部损失。                                  </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2、乙方提供的服务如侵犯了第三方合法权益而引发的任何纠纷或者诉讼，均由乙方负责交涉并承担全部责任。</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3、甲方延期付款的，每天向乙方偿付延期款额3‰滞纳金，但滞纳金累计不得超过延期款额5%。</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第十条  不可抗力事件处理</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1、在合同有效期内，任何一方因不可抗力事件导致不能履行合同，则合同履行期可延长，其延长期与不可抗力影响期相同。</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2、不可抗力事件发生后，应立即通知对方，并寄送有关权威机构出具的证明。</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3、不可抗力事件延续一百二十天以上，双方应通过友好协商，确定是否继续履行合同。</w:t>
      </w:r>
    </w:p>
    <w:p>
      <w:pPr>
        <w:spacing w:line="500" w:lineRule="exact"/>
        <w:ind w:firstLine="421" w:firstLineChars="200"/>
        <w:rPr>
          <w:rFonts w:ascii="宋体" w:hAnsi="宋体" w:cs="宋体"/>
          <w:color w:val="auto"/>
          <w:szCs w:val="21"/>
          <w:highlight w:val="none"/>
        </w:rPr>
      </w:pPr>
      <w:r>
        <w:rPr>
          <w:rFonts w:hint="eastAsia" w:ascii="宋体" w:hAnsi="宋体" w:cs="宋体"/>
          <w:b/>
          <w:color w:val="auto"/>
          <w:szCs w:val="21"/>
          <w:highlight w:val="none"/>
        </w:rPr>
        <w:t>第十一条  合同争议解决</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1、因服务质量问题发生争议的，应邀请国家认可的质量检测机构进行鉴定。服务符合标准的，鉴定费由甲方承担；服务不符合标准的，鉴定费由乙方承担。</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2、因履行本合同引起的或者与本合同有关的争议，甲乙双方应首先通过友好协商解决，如果协商不能解决，可向甲方所在地有管辖权的人民法院提起诉讼。</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3、诉讼期间，本合同继续履行。</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　</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1、合同经双方法定代表人或授权代表签字并加盖单位公章后生效</w:t>
      </w:r>
      <w:r>
        <w:rPr>
          <w:rFonts w:hint="eastAsia" w:ascii="宋体" w:hAnsi="宋体" w:cs="宋体"/>
          <w:color w:val="auto"/>
          <w:szCs w:val="21"/>
          <w:highlight w:val="none"/>
        </w:rPr>
        <w:t>（委托代理人签字的需后附授权委托书，格式自拟）</w:t>
      </w:r>
      <w:r>
        <w:rPr>
          <w:rFonts w:hint="eastAsia" w:ascii="宋体" w:hAnsi="宋体" w:cs="宋体"/>
          <w:bCs/>
          <w:color w:val="auto"/>
          <w:szCs w:val="21"/>
          <w:highlight w:val="none"/>
        </w:rPr>
        <w:t>。</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2、合同执行中涉及采购资金和采购内容修改或补充的，须经财政部门审批，并签书面补充协议报财政部门备案，方可作为主合同不可分割的一部分。</w:t>
      </w:r>
    </w:p>
    <w:p>
      <w:pPr>
        <w:spacing w:line="5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3、本合同未尽事宜，遵照《</w:t>
      </w:r>
      <w:r>
        <w:rPr>
          <w:rFonts w:hint="eastAsia" w:ascii="宋体" w:hAnsi="宋体" w:cs="宋体"/>
          <w:color w:val="auto"/>
          <w:szCs w:val="21"/>
          <w:highlight w:val="none"/>
        </w:rPr>
        <w:t>中华人民共和国民法典</w:t>
      </w:r>
      <w:r>
        <w:rPr>
          <w:rFonts w:hint="eastAsia" w:ascii="宋体" w:hAnsi="宋体" w:cs="宋体"/>
          <w:bCs/>
          <w:color w:val="auto"/>
          <w:szCs w:val="21"/>
          <w:highlight w:val="none"/>
        </w:rPr>
        <w:t>》有关条文执行。</w:t>
      </w:r>
    </w:p>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 xml:space="preserve">第十三条  </w:t>
      </w:r>
      <w:bookmarkStart w:id="166" w:name="OLE_LINK15"/>
      <w:r>
        <w:rPr>
          <w:rFonts w:hint="eastAsia" w:ascii="宋体" w:hAnsi="宋体" w:cs="宋体"/>
          <w:b/>
          <w:color w:val="auto"/>
          <w:szCs w:val="21"/>
          <w:highlight w:val="none"/>
        </w:rPr>
        <w:t>合同的变更、终止与转让</w:t>
      </w:r>
    </w:p>
    <w:bookmarkEnd w:id="166"/>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pPr>
        <w:spacing w:line="500" w:lineRule="exact"/>
        <w:ind w:firstLine="420" w:firstLineChars="200"/>
        <w:rPr>
          <w:rFonts w:ascii="宋体" w:hAnsi="宋体" w:cs="宋体"/>
          <w:bCs/>
          <w:color w:val="auto"/>
          <w:szCs w:val="21"/>
          <w:highlight w:val="none"/>
        </w:rPr>
      </w:pPr>
      <w:r>
        <w:rPr>
          <w:rFonts w:hint="eastAsia" w:ascii="宋体" w:hAnsi="宋体" w:cs="宋体"/>
          <w:color w:val="auto"/>
          <w:szCs w:val="21"/>
          <w:highlight w:val="none"/>
        </w:rPr>
        <w:t>2、乙方不得擅自转让</w:t>
      </w:r>
      <w:bookmarkStart w:id="167" w:name="OLE_LINK16"/>
      <w:r>
        <w:rPr>
          <w:rFonts w:hint="eastAsia" w:ascii="宋体" w:hAnsi="宋体" w:cs="宋体"/>
          <w:color w:val="auto"/>
          <w:szCs w:val="21"/>
          <w:highlight w:val="none"/>
        </w:rPr>
        <w:t>其应履行的合同义务</w:t>
      </w:r>
      <w:bookmarkEnd w:id="167"/>
      <w:r>
        <w:rPr>
          <w:rFonts w:hint="eastAsia" w:ascii="宋体" w:hAnsi="宋体" w:cs="宋体"/>
          <w:color w:val="auto"/>
          <w:szCs w:val="21"/>
          <w:highlight w:val="none"/>
        </w:rPr>
        <w:t>。</w:t>
      </w:r>
      <w:bookmarkStart w:id="168" w:name="OLE_LINK17"/>
      <w:bookmarkStart w:id="169" w:name="OLE_LINK14"/>
      <w:r>
        <w:rPr>
          <w:rFonts w:hint="eastAsia" w:ascii="宋体" w:hAnsi="宋体" w:cs="宋体"/>
          <w:color w:val="auto"/>
          <w:szCs w:val="21"/>
          <w:highlight w:val="none"/>
        </w:rPr>
        <w:t>如乙方擅自转让其应履行的合同义务，甲方有权解除合同，有权要求乙方支付20%的违约金</w:t>
      </w:r>
      <w:bookmarkEnd w:id="168"/>
      <w:r>
        <w:rPr>
          <w:rFonts w:hint="eastAsia" w:ascii="宋体" w:hAnsi="宋体" w:cs="宋体"/>
          <w:color w:val="auto"/>
          <w:szCs w:val="21"/>
          <w:highlight w:val="none"/>
        </w:rPr>
        <w:t>。</w:t>
      </w:r>
    </w:p>
    <w:bookmarkEnd w:id="169"/>
    <w:p>
      <w:pPr>
        <w:spacing w:line="500" w:lineRule="exact"/>
        <w:ind w:firstLine="421"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1、成交通知书；</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2、响应报价表及最后报价表；</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3、商务条款偏离表和服务需求偏离表；</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4、服务方案；</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5、响应文件中的其他相关文件。</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6、上述合同文件互相补充和解释。如果合同文件之间存在矛盾或者不一致之处，以上述文件的排列顺序在先者为准。</w:t>
      </w:r>
    </w:p>
    <w:p>
      <w:pPr>
        <w:spacing w:line="500" w:lineRule="exact"/>
        <w:ind w:firstLine="421"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w:t>
      </w:r>
      <w:r>
        <w:rPr>
          <w:rFonts w:hint="eastAsia" w:ascii="宋体" w:hAnsi="宋体" w:cs="宋体"/>
          <w:color w:val="auto"/>
          <w:szCs w:val="21"/>
          <w:highlight w:val="none"/>
          <w:lang w:eastAsia="zh-CN"/>
        </w:rPr>
        <w:t>捌</w:t>
      </w:r>
      <w:r>
        <w:rPr>
          <w:rFonts w:hint="eastAsia" w:ascii="宋体" w:hAnsi="宋体" w:cs="宋体"/>
          <w:color w:val="auto"/>
          <w:szCs w:val="21"/>
          <w:highlight w:val="none"/>
        </w:rPr>
        <w:t>份，具有同等法律效力，财政部门（政府采购监管部门）、采购代理机构各壹份，甲乙双方各</w:t>
      </w:r>
      <w:r>
        <w:rPr>
          <w:rFonts w:hint="eastAsia" w:ascii="宋体" w:hAnsi="宋体" w:cs="宋体"/>
          <w:color w:val="auto"/>
          <w:szCs w:val="21"/>
          <w:highlight w:val="none"/>
          <w:lang w:eastAsia="zh-CN"/>
        </w:rPr>
        <w:t>叁</w:t>
      </w:r>
      <w:r>
        <w:rPr>
          <w:rFonts w:hint="eastAsia" w:ascii="宋体" w:hAnsi="宋体" w:cs="宋体"/>
          <w:color w:val="auto"/>
          <w:szCs w:val="21"/>
          <w:highlight w:val="none"/>
        </w:rPr>
        <w:t>份（可根据需要另增加）。</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本合同甲乙双方签字盖章后生效，自签订之日起七个工作日内，采购人应当将合同副本报同级财政部门备案。</w:t>
      </w:r>
    </w:p>
    <w:p>
      <w:pPr>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本合同自签订之日起2个工作日内，采购人应当将采购合同在广西壮族自治区财政厅指定的媒体上公告。</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 xml:space="preserve">甲方（章）           </w:t>
            </w:r>
          </w:p>
          <w:p>
            <w:pPr>
              <w:snapToGrid w:val="0"/>
              <w:spacing w:line="500" w:lineRule="exact"/>
              <w:rPr>
                <w:rFonts w:ascii="宋体" w:hAnsi="宋体"/>
                <w:color w:val="auto"/>
                <w:szCs w:val="21"/>
                <w:highlight w:val="none"/>
              </w:rPr>
            </w:pPr>
          </w:p>
          <w:p>
            <w:pPr>
              <w:snapToGrid w:val="0"/>
              <w:spacing w:line="500" w:lineRule="exact"/>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 xml:space="preserve">乙方（章）              </w:t>
            </w:r>
          </w:p>
          <w:p>
            <w:pPr>
              <w:snapToGrid w:val="0"/>
              <w:spacing w:line="500" w:lineRule="exact"/>
              <w:rPr>
                <w:rFonts w:ascii="宋体" w:hAnsi="宋体"/>
                <w:color w:val="auto"/>
                <w:szCs w:val="21"/>
                <w:highlight w:val="none"/>
              </w:rPr>
            </w:pPr>
          </w:p>
          <w:p>
            <w:pPr>
              <w:snapToGrid w:val="0"/>
              <w:spacing w:line="500" w:lineRule="exact"/>
              <w:jc w:val="right"/>
              <w:rPr>
                <w:rFonts w:ascii="宋体" w:hAnsi="宋体"/>
                <w:color w:val="auto"/>
                <w:szCs w:val="21"/>
                <w:highlight w:val="none"/>
              </w:rPr>
            </w:pPr>
            <w:r>
              <w:rPr>
                <w:rFonts w:hint="eastAsia" w:ascii="宋体" w:hAnsi="宋体"/>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tcPr>
          <w:p>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tcPr>
          <w:p>
            <w:pPr>
              <w:snapToGrid w:val="0"/>
              <w:spacing w:line="500" w:lineRule="exact"/>
              <w:rPr>
                <w:rFonts w:ascii="宋体" w:hAnsi="宋体"/>
                <w:color w:val="auto"/>
                <w:szCs w:val="21"/>
                <w:highlight w:val="none"/>
              </w:rPr>
            </w:pPr>
            <w:r>
              <w:rPr>
                <w:rFonts w:hint="eastAsia" w:ascii="宋体" w:hAnsi="宋体"/>
                <w:color w:val="auto"/>
                <w:szCs w:val="21"/>
                <w:highlight w:val="none"/>
              </w:rPr>
              <w:t>法定代表人或者委托代理人：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c>
          <w:tcPr>
            <w:tcW w:w="4517" w:type="dxa"/>
            <w:vAlign w:val="center"/>
          </w:tcPr>
          <w:p>
            <w:pPr>
              <w:snapToGrid w:val="0"/>
              <w:spacing w:line="500" w:lineRule="exact"/>
              <w:rPr>
                <w:rFonts w:ascii="宋体" w:hAnsi="宋体"/>
                <w:color w:val="auto"/>
                <w:szCs w:val="21"/>
                <w:highlight w:val="none"/>
              </w:rPr>
            </w:pPr>
            <w:r>
              <w:rPr>
                <w:rFonts w:hint="eastAsia" w:ascii="宋体" w:hAnsi="宋体"/>
                <w:color w:val="auto"/>
                <w:szCs w:val="21"/>
                <w:highlight w:val="none"/>
              </w:rPr>
              <w:t>邮政编码：</w:t>
            </w:r>
          </w:p>
        </w:tc>
      </w:tr>
    </w:tbl>
    <w:p>
      <w:pPr>
        <w:spacing w:line="480" w:lineRule="exact"/>
        <w:jc w:val="center"/>
        <w:rPr>
          <w:rFonts w:ascii="宋体" w:hAnsi="宋体" w:cs="宋体"/>
          <w:b/>
          <w:bCs/>
          <w:color w:val="auto"/>
          <w:kern w:val="0"/>
          <w:szCs w:val="21"/>
          <w:highlight w:val="none"/>
        </w:rPr>
      </w:pPr>
    </w:p>
    <w:p>
      <w:pPr>
        <w:rPr>
          <w:rFonts w:ascii="宋体" w:hAnsi="宋体" w:cs="宋体"/>
          <w:color w:val="auto"/>
          <w:szCs w:val="21"/>
          <w:highlight w:val="none"/>
        </w:rPr>
      </w:pPr>
    </w:p>
    <w:p>
      <w:pPr>
        <w:rPr>
          <w:rFonts w:cs="仿宋_GB2312"/>
          <w:b/>
          <w:color w:val="auto"/>
          <w:sz w:val="44"/>
          <w:szCs w:val="44"/>
          <w:highlight w:val="none"/>
        </w:rPr>
      </w:pPr>
      <w:r>
        <w:rPr>
          <w:rFonts w:cs="仿宋_GB2312"/>
          <w:b/>
          <w:color w:val="auto"/>
          <w:sz w:val="44"/>
          <w:szCs w:val="44"/>
          <w:highlight w:val="none"/>
        </w:rPr>
        <w:br w:type="page"/>
      </w:r>
    </w:p>
    <w:p>
      <w:pPr>
        <w:pStyle w:val="3"/>
        <w:rPr>
          <w:color w:val="auto"/>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tabs>
          <w:tab w:val="left" w:pos="3261"/>
        </w:tabs>
        <w:spacing w:line="360" w:lineRule="auto"/>
        <w:contextualSpacing/>
        <w:jc w:val="center"/>
        <w:rPr>
          <w:rFonts w:cs="仿宋_GB2312"/>
          <w:b/>
          <w:color w:val="auto"/>
          <w:sz w:val="44"/>
          <w:szCs w:val="44"/>
          <w:highlight w:val="none"/>
        </w:rPr>
      </w:pPr>
    </w:p>
    <w:p>
      <w:pPr>
        <w:pStyle w:val="3"/>
        <w:jc w:val="center"/>
        <w:rPr>
          <w:rFonts w:cs="仿宋_GB2312"/>
          <w:b w:val="0"/>
          <w:color w:val="auto"/>
          <w:highlight w:val="none"/>
        </w:rPr>
      </w:pPr>
      <w:bookmarkStart w:id="170" w:name="_Toc20915"/>
      <w:bookmarkStart w:id="171" w:name="_Toc610"/>
      <w:bookmarkStart w:id="172" w:name="_Toc28283"/>
      <w:bookmarkStart w:id="173" w:name="_Toc13011"/>
      <w:bookmarkStart w:id="174" w:name="_Toc8963"/>
      <w:bookmarkStart w:id="175" w:name="_Toc29624"/>
      <w:bookmarkStart w:id="176" w:name="_Toc178"/>
      <w:bookmarkStart w:id="177" w:name="_Toc80886951"/>
    </w:p>
    <w:p>
      <w:pPr>
        <w:pStyle w:val="3"/>
        <w:jc w:val="center"/>
        <w:rPr>
          <w:rFonts w:cs="仿宋_GB2312"/>
          <w:b w:val="0"/>
          <w:color w:val="auto"/>
          <w:highlight w:val="none"/>
        </w:rPr>
      </w:pPr>
    </w:p>
    <w:p>
      <w:pPr>
        <w:pStyle w:val="3"/>
        <w:jc w:val="center"/>
        <w:rPr>
          <w:rFonts w:cs="仿宋_GB2312"/>
          <w:color w:val="auto"/>
          <w:highlight w:val="none"/>
        </w:rPr>
        <w:sectPr>
          <w:pgSz w:w="11911" w:h="16838"/>
          <w:pgMar w:top="1134" w:right="1134" w:bottom="1134" w:left="1134" w:header="720" w:footer="720" w:gutter="0"/>
          <w:cols w:space="720" w:num="1"/>
        </w:sectPr>
      </w:pPr>
      <w:r>
        <w:rPr>
          <w:rFonts w:hint="eastAsia" w:cs="仿宋_GB2312"/>
          <w:b w:val="0"/>
          <w:color w:val="auto"/>
          <w:highlight w:val="none"/>
        </w:rPr>
        <w:t>第七章 质疑、投诉材料格式</w:t>
      </w:r>
      <w:bookmarkEnd w:id="170"/>
      <w:bookmarkEnd w:id="171"/>
      <w:bookmarkEnd w:id="172"/>
      <w:bookmarkEnd w:id="173"/>
      <w:bookmarkEnd w:id="174"/>
      <w:bookmarkEnd w:id="175"/>
      <w:bookmarkEnd w:id="176"/>
      <w:bookmarkEnd w:id="177"/>
    </w:p>
    <w:p>
      <w:pPr>
        <w:spacing w:line="360" w:lineRule="auto"/>
        <w:jc w:val="center"/>
        <w:rPr>
          <w:b/>
          <w:bCs/>
          <w:color w:val="auto"/>
          <w:sz w:val="32"/>
          <w:szCs w:val="32"/>
          <w:highlight w:val="none"/>
        </w:rPr>
      </w:pPr>
      <w:r>
        <w:rPr>
          <w:rFonts w:hint="eastAsia"/>
          <w:b/>
          <w:bCs/>
          <w:color w:val="auto"/>
          <w:sz w:val="32"/>
          <w:szCs w:val="32"/>
          <w:highlight w:val="none"/>
        </w:rPr>
        <w:t>质疑函（格式）</w:t>
      </w:r>
    </w:p>
    <w:p>
      <w:pPr>
        <w:spacing w:line="360" w:lineRule="auto"/>
        <w:ind w:firstLine="481"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一、质疑供应商基本信息：</w:t>
      </w:r>
    </w:p>
    <w:p>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质疑供应商：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pacing w:line="360" w:lineRule="auto"/>
        <w:ind w:firstLine="480" w:firstLineChars="200"/>
        <w:contextualSpacing/>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pacing w:line="360" w:lineRule="auto"/>
        <w:ind w:firstLine="481" w:firstLineChars="200"/>
        <w:contextualSpacing/>
        <w:rPr>
          <w:rFonts w:ascii="宋体" w:hAnsi="宋体" w:cs="宋体"/>
          <w:b/>
          <w:bCs/>
          <w:color w:val="auto"/>
          <w:kern w:val="0"/>
          <w:sz w:val="24"/>
          <w:highlight w:val="none"/>
        </w:rPr>
      </w:pPr>
      <w:r>
        <w:rPr>
          <w:rFonts w:hint="eastAsia" w:ascii="宋体" w:hAnsi="宋体" w:cs="宋体"/>
          <w:b/>
          <w:bCs/>
          <w:color w:val="auto"/>
          <w:kern w:val="0"/>
          <w:sz w:val="24"/>
          <w:highlight w:val="none"/>
        </w:rPr>
        <w:t>二、质疑项目基本情况：</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bCs/>
          <w:color w:val="auto"/>
          <w:kern w:val="0"/>
          <w:sz w:val="24"/>
          <w:highlight w:val="none"/>
        </w:rPr>
        <w:t>质疑</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w:t>
      </w:r>
    </w:p>
    <w:p>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□采购文件   采购文件获取日期：</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ascii="宋体" w:hAnsi="宋体" w:cs="宋体"/>
          <w:color w:val="auto"/>
          <w:kern w:val="0"/>
          <w:sz w:val="24"/>
          <w:highlight w:val="none"/>
        </w:rPr>
      </w:pPr>
      <w:r>
        <w:rPr>
          <w:rFonts w:hint="eastAsia" w:ascii="宋体" w:hAnsi="宋体" w:cs="宋体"/>
          <w:color w:val="auto"/>
          <w:kern w:val="0"/>
          <w:sz w:val="24"/>
          <w:highlight w:val="none"/>
        </w:rPr>
        <w:t xml:space="preserve">□采购过程   </w:t>
      </w:r>
    </w:p>
    <w:p>
      <w:pPr>
        <w:spacing w:line="360" w:lineRule="auto"/>
        <w:ind w:left="25" w:leftChars="12" w:firstLine="352" w:firstLineChars="147"/>
        <w:contextualSpacing/>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□成交结果   </w:t>
      </w:r>
    </w:p>
    <w:p>
      <w:pPr>
        <w:spacing w:line="360" w:lineRule="auto"/>
        <w:ind w:left="25" w:leftChars="12" w:firstLine="472" w:firstLineChars="196"/>
        <w:contextualSpacing/>
        <w:rPr>
          <w:rFonts w:ascii="宋体" w:hAnsi="宋体" w:cs="宋体"/>
          <w:b/>
          <w:color w:val="auto"/>
          <w:kern w:val="0"/>
          <w:sz w:val="24"/>
          <w:highlight w:val="none"/>
        </w:rPr>
      </w:pPr>
      <w:r>
        <w:rPr>
          <w:rFonts w:hint="eastAsia" w:ascii="宋体" w:hAnsi="宋体" w:cs="宋体"/>
          <w:b/>
          <w:color w:val="auto"/>
          <w:kern w:val="0"/>
          <w:sz w:val="24"/>
          <w:highlight w:val="none"/>
        </w:rPr>
        <w:t>三、质疑事项具体内容</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质疑事项1：</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事实依据：</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法律依据：</w:t>
      </w:r>
      <w:r>
        <w:rPr>
          <w:rFonts w:hint="eastAsia" w:ascii="宋体" w:hAnsi="宋体" w:cs="宋体"/>
          <w:color w:val="auto"/>
          <w:kern w:val="0"/>
          <w:sz w:val="24"/>
          <w:highlight w:val="none"/>
          <w:u w:val="singl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质疑事项2</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四、与质疑事项相关的质疑请求：</w:t>
      </w: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contextualSpacing/>
        <w:rPr>
          <w:rFonts w:ascii="宋体" w:hAnsi="宋体" w:cs="宋体"/>
          <w:color w:val="auto"/>
          <w:kern w:val="0"/>
          <w:sz w:val="24"/>
          <w:highlight w:val="none"/>
        </w:rPr>
      </w:pP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contextualSpacing/>
        <w:rPr>
          <w:rFonts w:ascii="宋体" w:hAnsi="宋体" w:cs="宋体"/>
          <w:color w:val="auto"/>
          <w:kern w:val="0"/>
          <w:sz w:val="24"/>
          <w:highlight w:val="none"/>
        </w:rPr>
      </w:pPr>
    </w:p>
    <w:p>
      <w:pPr>
        <w:spacing w:line="360" w:lineRule="auto"/>
        <w:ind w:left="25" w:leftChars="12" w:firstLine="472" w:firstLineChars="197"/>
        <w:contextualSpacing/>
        <w:rPr>
          <w:rFonts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contextualSpacing/>
        <w:rPr>
          <w:b/>
          <w:color w:val="auto"/>
          <w:kern w:val="0"/>
          <w:sz w:val="24"/>
          <w:highlight w:val="none"/>
        </w:rPr>
      </w:pPr>
    </w:p>
    <w:p>
      <w:pPr>
        <w:spacing w:line="360" w:lineRule="auto"/>
        <w:contextualSpacing/>
        <w:rPr>
          <w:b/>
          <w:color w:val="auto"/>
          <w:kern w:val="0"/>
          <w:sz w:val="24"/>
          <w:highlight w:val="none"/>
        </w:rPr>
      </w:pPr>
    </w:p>
    <w:p>
      <w:pPr>
        <w:spacing w:line="360" w:lineRule="auto"/>
        <w:contextualSpacing/>
        <w:rPr>
          <w:b/>
          <w:color w:val="auto"/>
          <w:kern w:val="0"/>
          <w:sz w:val="24"/>
          <w:highlight w:val="none"/>
        </w:rPr>
      </w:pPr>
      <w:r>
        <w:rPr>
          <w:rFonts w:hint="eastAsia"/>
          <w:b/>
          <w:color w:val="auto"/>
          <w:kern w:val="0"/>
          <w:sz w:val="24"/>
          <w:highlight w:val="none"/>
        </w:rPr>
        <w:t>说明：</w:t>
      </w:r>
    </w:p>
    <w:p>
      <w:pPr>
        <w:spacing w:line="360" w:lineRule="auto"/>
        <w:ind w:left="25" w:leftChars="12" w:firstLine="354" w:firstLineChars="147"/>
        <w:contextualSpacing/>
        <w:rPr>
          <w:rFonts w:ascii="宋体" w:hAnsi="宋体" w:cs="宋体"/>
          <w:b/>
          <w:bCs/>
          <w:color w:val="auto"/>
          <w:kern w:val="0"/>
          <w:sz w:val="24"/>
          <w:highlight w:val="none"/>
        </w:rPr>
      </w:pPr>
      <w:r>
        <w:rPr>
          <w:rFonts w:hint="eastAsia" w:ascii="宋体" w:hAnsi="宋体" w:cs="宋体"/>
          <w:b/>
          <w:color w:val="auto"/>
          <w:kern w:val="0"/>
          <w:sz w:val="24"/>
          <w:highlight w:val="none"/>
        </w:rPr>
        <w:t>1.供应商提出质疑时，应提交质疑函和必要的证明材料</w:t>
      </w:r>
      <w:r>
        <w:rPr>
          <w:rFonts w:hint="eastAsia" w:ascii="宋体" w:hAnsi="宋体" w:cs="宋体"/>
          <w:b/>
          <w:bCs/>
          <w:color w:val="auto"/>
          <w:kern w:val="0"/>
          <w:sz w:val="24"/>
          <w:highlight w:val="none"/>
        </w:rPr>
        <w:t>。</w:t>
      </w:r>
    </w:p>
    <w:p>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3.质疑函的质疑事项应具体、明确，并有必要的事实依据和法律依据。</w:t>
      </w:r>
    </w:p>
    <w:p>
      <w:pPr>
        <w:spacing w:line="360" w:lineRule="auto"/>
        <w:ind w:left="25" w:leftChars="12" w:firstLine="354" w:firstLineChars="147"/>
        <w:contextualSpacing/>
        <w:rPr>
          <w:rFonts w:ascii="宋体" w:hAnsi="宋体" w:cs="宋体"/>
          <w:b/>
          <w:color w:val="auto"/>
          <w:kern w:val="0"/>
          <w:sz w:val="24"/>
          <w:highlight w:val="none"/>
        </w:rPr>
      </w:pPr>
      <w:r>
        <w:rPr>
          <w:rFonts w:hint="eastAsia" w:ascii="宋体" w:hAnsi="宋体" w:cs="宋体"/>
          <w:b/>
          <w:color w:val="auto"/>
          <w:kern w:val="0"/>
          <w:sz w:val="24"/>
          <w:highlight w:val="none"/>
        </w:rPr>
        <w:t>4.质疑函的质疑请求应与质疑事项相关。</w:t>
      </w:r>
    </w:p>
    <w:p>
      <w:pPr>
        <w:spacing w:line="360" w:lineRule="auto"/>
        <w:ind w:left="25" w:leftChars="12" w:firstLine="354" w:firstLineChars="147"/>
        <w:contextualSpacing/>
        <w:rPr>
          <w:rFonts w:ascii="宋体" w:hAnsi="宋体" w:cs="宋体"/>
          <w:b/>
          <w:color w:val="auto"/>
          <w:kern w:val="0"/>
          <w:sz w:val="20"/>
          <w:szCs w:val="21"/>
          <w:highlight w:val="none"/>
        </w:rPr>
      </w:pPr>
      <w:r>
        <w:rPr>
          <w:rFonts w:hint="eastAsia" w:ascii="宋体" w:hAnsi="宋体" w:cs="宋体"/>
          <w:b/>
          <w:color w:val="auto"/>
          <w:kern w:val="0"/>
          <w:sz w:val="24"/>
          <w:highlight w:val="none"/>
        </w:rPr>
        <w:t>5.质疑供应商为法人或者其他组织的，质疑函应由法定代表人、主要负责人，或者其授权代表签字或者盖章，并加盖公章。</w:t>
      </w:r>
    </w:p>
    <w:p>
      <w:pPr>
        <w:snapToGrid w:val="0"/>
        <w:rPr>
          <w:rFonts w:hAnsi="Courier New"/>
          <w:b/>
          <w:color w:val="auto"/>
          <w:kern w:val="0"/>
          <w:sz w:val="24"/>
          <w:highlight w:val="none"/>
        </w:rPr>
      </w:pPr>
    </w:p>
    <w:p>
      <w:pPr>
        <w:spacing w:line="460" w:lineRule="exact"/>
        <w:jc w:val="center"/>
        <w:rPr>
          <w:rFonts w:ascii="Calibri" w:hAnsi="Calibri" w:eastAsia="隶书"/>
          <w:color w:val="auto"/>
          <w:sz w:val="44"/>
          <w:highlight w:val="none"/>
        </w:rPr>
      </w:pPr>
      <w:r>
        <w:rPr>
          <w:rFonts w:ascii="Calibri" w:hAnsi="Calibri" w:eastAsia="隶书"/>
          <w:color w:val="auto"/>
          <w:sz w:val="44"/>
          <w:highlight w:val="none"/>
        </w:rPr>
        <w:br w:type="page"/>
      </w:r>
    </w:p>
    <w:p>
      <w:pPr>
        <w:spacing w:line="360" w:lineRule="auto"/>
        <w:jc w:val="center"/>
        <w:rPr>
          <w:b/>
          <w:bCs/>
          <w:color w:val="auto"/>
          <w:sz w:val="32"/>
          <w:szCs w:val="32"/>
          <w:highlight w:val="none"/>
        </w:rPr>
      </w:pPr>
      <w:r>
        <w:rPr>
          <w:rFonts w:hint="eastAsia"/>
          <w:b/>
          <w:bCs/>
          <w:color w:val="auto"/>
          <w:sz w:val="32"/>
          <w:szCs w:val="32"/>
          <w:highlight w:val="none"/>
        </w:rPr>
        <w:t>投诉书（格式）</w:t>
      </w:r>
    </w:p>
    <w:p>
      <w:pPr>
        <w:snapToGrid w:val="0"/>
        <w:spacing w:line="360" w:lineRule="auto"/>
        <w:ind w:firstLine="481"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一、投诉相关主体基本情况：</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供应商：</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法定代表人/主要负责人：</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授权代表：</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被投诉人1：</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被投诉人2：</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相关供应商：</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地址：</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邮编：</w:t>
      </w:r>
      <w:r>
        <w:rPr>
          <w:rFonts w:hint="eastAsia" w:ascii="宋体" w:hAnsi="宋体" w:cs="宋体"/>
          <w:bCs/>
          <w:color w:val="auto"/>
          <w:kern w:val="0"/>
          <w:sz w:val="24"/>
          <w:highlight w:val="none"/>
          <w:u w:val="single"/>
        </w:rPr>
        <w:t xml:space="preserve">                         </w:t>
      </w:r>
    </w:p>
    <w:p>
      <w:pPr>
        <w:snapToGrid w:val="0"/>
        <w:spacing w:line="360" w:lineRule="auto"/>
        <w:ind w:firstLine="480" w:firstLineChars="200"/>
        <w:rPr>
          <w:rFonts w:ascii="宋体" w:hAnsi="宋体" w:cs="宋体"/>
          <w:bCs/>
          <w:color w:val="auto"/>
          <w:kern w:val="0"/>
          <w:sz w:val="24"/>
          <w:highlight w:val="none"/>
        </w:rPr>
      </w:pPr>
      <w:r>
        <w:rPr>
          <w:rFonts w:hint="eastAsia" w:ascii="宋体" w:hAnsi="宋体" w:cs="宋体"/>
          <w:bCs/>
          <w:color w:val="auto"/>
          <w:kern w:val="0"/>
          <w:sz w:val="24"/>
          <w:highlight w:val="none"/>
        </w:rPr>
        <w:t>联系人：</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联系电话：</w:t>
      </w:r>
      <w:r>
        <w:rPr>
          <w:rFonts w:hint="eastAsia" w:ascii="宋体" w:hAnsi="宋体" w:cs="宋体"/>
          <w:bCs/>
          <w:color w:val="auto"/>
          <w:kern w:val="0"/>
          <w:sz w:val="24"/>
          <w:highlight w:val="none"/>
          <w:u w:val="single"/>
        </w:rPr>
        <w:t xml:space="preserve">                     </w:t>
      </w:r>
      <w:r>
        <w:rPr>
          <w:rFonts w:hint="eastAsia" w:ascii="宋体" w:hAnsi="宋体" w:cs="宋体"/>
          <w:bCs/>
          <w:color w:val="auto"/>
          <w:kern w:val="0"/>
          <w:sz w:val="24"/>
          <w:highlight w:val="none"/>
        </w:rPr>
        <w:t xml:space="preserve">                </w:t>
      </w:r>
    </w:p>
    <w:p>
      <w:pPr>
        <w:snapToGrid w:val="0"/>
        <w:spacing w:line="360" w:lineRule="auto"/>
        <w:ind w:firstLine="481"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二、投诉项目基本情况：</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采购</w:t>
      </w:r>
      <w:r>
        <w:rPr>
          <w:rFonts w:hint="eastAsia" w:ascii="宋体" w:hAnsi="宋体" w:cs="宋体"/>
          <w:color w:val="auto"/>
          <w:kern w:val="0"/>
          <w:sz w:val="24"/>
          <w:highlight w:val="none"/>
        </w:rPr>
        <w:t>项目的编号：</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采购人名称：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代理机构名称：</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bCs/>
          <w:color w:val="auto"/>
          <w:kern w:val="0"/>
          <w:sz w:val="24"/>
          <w:highlight w:val="none"/>
        </w:rPr>
        <w:t>采购文件公告：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
          <w:color w:val="auto"/>
          <w:kern w:val="0"/>
          <w:sz w:val="24"/>
          <w:highlight w:val="none"/>
        </w:rPr>
      </w:pPr>
      <w:r>
        <w:rPr>
          <w:rFonts w:hint="eastAsia" w:ascii="宋体" w:hAnsi="宋体" w:cs="宋体"/>
          <w:bCs/>
          <w:color w:val="auto"/>
          <w:kern w:val="0"/>
          <w:sz w:val="24"/>
          <w:highlight w:val="none"/>
        </w:rPr>
        <w:t>采购结果公告：</w:t>
      </w:r>
      <w:r>
        <w:rPr>
          <w:rFonts w:hint="eastAsia" w:ascii="宋体" w:hAnsi="宋体" w:cs="宋体"/>
          <w:bCs/>
          <w:color w:val="auto"/>
          <w:kern w:val="0"/>
          <w:sz w:val="24"/>
          <w:highlight w:val="none"/>
          <w:u w:val="single"/>
        </w:rPr>
        <w:t>是/否</w:t>
      </w:r>
      <w:r>
        <w:rPr>
          <w:rFonts w:hint="eastAsia" w:ascii="宋体" w:hAnsi="宋体" w:cs="宋体"/>
          <w:bCs/>
          <w:color w:val="auto"/>
          <w:kern w:val="0"/>
          <w:sz w:val="24"/>
          <w:highlight w:val="none"/>
        </w:rPr>
        <w:t>公告期限：</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三、质疑基本情况</w:t>
      </w:r>
    </w:p>
    <w:p>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投诉人于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提出质疑，质疑事项为：</w:t>
      </w:r>
    </w:p>
    <w:p>
      <w:pPr>
        <w:spacing w:line="360" w:lineRule="auto"/>
        <w:ind w:firstLine="241"/>
        <w:rPr>
          <w:rFonts w:ascii="宋体" w:hAnsi="宋体" w:cs="宋体"/>
          <w:bCs/>
          <w:color w:val="auto"/>
          <w:kern w:val="0"/>
          <w:sz w:val="24"/>
          <w:highlight w:val="none"/>
          <w:u w:val="single"/>
        </w:rPr>
      </w:pP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241"/>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firstLine="480" w:firstLineChars="200"/>
        <w:rPr>
          <w:rFonts w:ascii="宋体" w:hAnsi="宋体" w:cs="宋体"/>
          <w:color w:val="auto"/>
          <w:kern w:val="0"/>
          <w:sz w:val="24"/>
          <w:highlight w:val="none"/>
        </w:rPr>
      </w:pPr>
      <w:r>
        <w:rPr>
          <w:rFonts w:hint="eastAsia" w:ascii="宋体" w:hAnsi="宋体" w:cs="宋体"/>
          <w:bCs/>
          <w:color w:val="auto"/>
          <w:kern w:val="0"/>
          <w:sz w:val="24"/>
          <w:highlight w:val="none"/>
          <w:u w:val="single"/>
        </w:rPr>
        <w:t>采购人/采购代理机构</w:t>
      </w:r>
      <w:r>
        <w:rPr>
          <w:rFonts w:hint="eastAsia" w:ascii="宋体" w:hAnsi="宋体" w:cs="宋体"/>
          <w:bCs/>
          <w:color w:val="auto"/>
          <w:kern w:val="0"/>
          <w:sz w:val="24"/>
          <w:highlight w:val="none"/>
        </w:rPr>
        <w:t>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月</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r>
        <w:rPr>
          <w:rFonts w:hint="eastAsia" w:ascii="宋体" w:hAnsi="宋体" w:cs="宋体"/>
          <w:bCs/>
          <w:color w:val="auto"/>
          <w:kern w:val="0"/>
          <w:sz w:val="24"/>
          <w:highlight w:val="none"/>
        </w:rPr>
        <w:t xml:space="preserve">就质疑事项作出了答复/没有在法定期限内作出答复。                                                                                             </w:t>
      </w:r>
    </w:p>
    <w:p>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四、投诉事项具体内容</w:t>
      </w:r>
    </w:p>
    <w:p>
      <w:pPr>
        <w:spacing w:line="360" w:lineRule="auto"/>
        <w:ind w:left="25" w:leftChars="12" w:firstLine="472" w:firstLineChars="197"/>
        <w:rPr>
          <w:rFonts w:ascii="宋体" w:hAnsi="宋体" w:cs="宋体"/>
          <w:bCs/>
          <w:color w:val="auto"/>
          <w:kern w:val="0"/>
          <w:sz w:val="24"/>
          <w:highlight w:val="none"/>
          <w:u w:val="single"/>
        </w:rPr>
      </w:pPr>
      <w:r>
        <w:rPr>
          <w:rFonts w:hint="eastAsia" w:ascii="宋体" w:hAnsi="宋体" w:cs="宋体"/>
          <w:color w:val="auto"/>
          <w:kern w:val="0"/>
          <w:sz w:val="24"/>
          <w:highlight w:val="none"/>
        </w:rPr>
        <w:t>投诉事项1：</w:t>
      </w:r>
      <w:r>
        <w:rPr>
          <w:rFonts w:hint="eastAsia" w:ascii="宋体" w:hAnsi="宋体" w:cs="宋体"/>
          <w:bCs/>
          <w:color w:val="auto"/>
          <w:kern w:val="0"/>
          <w:sz w:val="24"/>
          <w:highlight w:val="none"/>
          <w:u w:val="single"/>
        </w:rPr>
        <w:t xml:space="preserve">                                                                           </w:t>
      </w:r>
    </w:p>
    <w:p>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事实依据：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u w:val="single"/>
        </w:rPr>
        <w:t xml:space="preserve">                                                                                        </w:t>
      </w:r>
    </w:p>
    <w:p>
      <w:pPr>
        <w:spacing w:line="360" w:lineRule="auto"/>
        <w:ind w:firstLine="480" w:firstLineChars="200"/>
        <w:rPr>
          <w:rFonts w:ascii="宋体" w:hAnsi="宋体" w:cs="宋体"/>
          <w:bCs/>
          <w:color w:val="auto"/>
          <w:kern w:val="0"/>
          <w:sz w:val="24"/>
          <w:highlight w:val="none"/>
          <w:u w:val="single"/>
        </w:rPr>
      </w:pPr>
      <w:r>
        <w:rPr>
          <w:rFonts w:hint="eastAsia" w:ascii="宋体" w:hAnsi="宋体" w:cs="宋体"/>
          <w:bCs/>
          <w:color w:val="auto"/>
          <w:kern w:val="0"/>
          <w:sz w:val="24"/>
          <w:highlight w:val="none"/>
        </w:rPr>
        <w:t>法律依据：</w:t>
      </w:r>
      <w:r>
        <w:rPr>
          <w:rFonts w:hint="eastAsia" w:ascii="宋体" w:hAnsi="宋体" w:cs="宋体"/>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ascii="宋体" w:hAnsi="宋体" w:cs="宋体"/>
          <w:bCs/>
          <w:color w:val="auto"/>
          <w:kern w:val="0"/>
          <w:sz w:val="24"/>
          <w:highlight w:val="none"/>
          <w:u w:val="single"/>
        </w:rPr>
      </w:pPr>
      <w:r>
        <w:rPr>
          <w:rFonts w:hint="eastAsia" w:ascii="宋体" w:hAnsi="宋体" w:cs="宋体"/>
          <w:bCs/>
          <w:color w:val="auto"/>
          <w:kern w:val="0"/>
          <w:sz w:val="24"/>
          <w:highlight w:val="none"/>
        </w:rPr>
        <w:t xml:space="preserve"> </w:t>
      </w:r>
      <w:r>
        <w:rPr>
          <w:rFonts w:hint="eastAsia" w:ascii="宋体" w:hAnsi="宋体" w:cs="宋体"/>
          <w:bCs/>
          <w:color w:val="auto"/>
          <w:kern w:val="0"/>
          <w:sz w:val="24"/>
          <w:highlight w:val="none"/>
          <w:u w:val="single"/>
        </w:rPr>
        <w:t xml:space="preserve">                                                                                        </w:t>
      </w:r>
    </w:p>
    <w:p>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color w:val="auto"/>
          <w:kern w:val="0"/>
          <w:sz w:val="24"/>
          <w:highlight w:val="none"/>
        </w:rPr>
        <w:t xml:space="preserve">投诉事项2  </w:t>
      </w:r>
      <w:r>
        <w:rPr>
          <w:rFonts w:hint="eastAsia" w:ascii="宋体" w:hAnsi="宋体" w:cs="宋体"/>
          <w:bCs/>
          <w:color w:val="auto"/>
          <w:kern w:val="0"/>
          <w:sz w:val="24"/>
          <w:highlight w:val="none"/>
        </w:rPr>
        <w:t xml:space="preserve">   </w:t>
      </w:r>
    </w:p>
    <w:p>
      <w:pPr>
        <w:spacing w:line="360" w:lineRule="auto"/>
        <w:ind w:left="25" w:leftChars="12" w:firstLine="472" w:firstLineChars="197"/>
        <w:rPr>
          <w:rFonts w:ascii="宋体" w:hAnsi="宋体" w:cs="宋体"/>
          <w:bCs/>
          <w:color w:val="auto"/>
          <w:kern w:val="0"/>
          <w:sz w:val="24"/>
          <w:highlight w:val="none"/>
        </w:rPr>
      </w:pPr>
      <w:r>
        <w:rPr>
          <w:rFonts w:hint="eastAsia" w:ascii="宋体" w:hAnsi="宋体" w:cs="宋体"/>
          <w:bCs/>
          <w:color w:val="auto"/>
          <w:kern w:val="0"/>
          <w:sz w:val="24"/>
          <w:highlight w:val="none"/>
        </w:rPr>
        <w:t>……</w:t>
      </w:r>
    </w:p>
    <w:p>
      <w:pPr>
        <w:spacing w:line="360" w:lineRule="auto"/>
        <w:ind w:left="25" w:leftChars="12"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五、与投诉事项相关的投诉请求：</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请求：</w:t>
      </w:r>
      <w:r>
        <w:rPr>
          <w:rFonts w:hint="eastAsia" w:ascii="宋体" w:hAnsi="宋体" w:cs="宋体"/>
          <w:bCs/>
          <w:color w:val="auto"/>
          <w:kern w:val="0"/>
          <w:sz w:val="24"/>
          <w:highlight w:val="none"/>
          <w:u w:val="single"/>
        </w:rPr>
        <w:t xml:space="preserve">                                                                                 </w:t>
      </w:r>
    </w:p>
    <w:p>
      <w:pPr>
        <w:spacing w:line="360" w:lineRule="auto"/>
        <w:ind w:left="25" w:leftChars="12" w:firstLine="352" w:firstLineChars="147"/>
        <w:rPr>
          <w:rFonts w:ascii="宋体" w:hAnsi="宋体" w:cs="宋体"/>
          <w:color w:val="auto"/>
          <w:kern w:val="0"/>
          <w:sz w:val="24"/>
          <w:highlight w:val="none"/>
        </w:rPr>
      </w:pP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签字（签章）：                                       公章：</w:t>
      </w:r>
    </w:p>
    <w:p>
      <w:pPr>
        <w:spacing w:line="360" w:lineRule="auto"/>
        <w:ind w:left="25" w:leftChars="12" w:firstLine="352" w:firstLineChars="147"/>
        <w:rPr>
          <w:rFonts w:ascii="宋体" w:hAnsi="宋体" w:cs="宋体"/>
          <w:color w:val="auto"/>
          <w:kern w:val="0"/>
          <w:sz w:val="24"/>
          <w:highlight w:val="none"/>
        </w:rPr>
      </w:pP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color w:val="auto"/>
          <w:kern w:val="0"/>
          <w:sz w:val="24"/>
          <w:highlight w:val="none"/>
        </w:rPr>
        <w:t>日期：</w:t>
      </w:r>
    </w:p>
    <w:p>
      <w:pPr>
        <w:spacing w:line="360" w:lineRule="auto"/>
        <w:ind w:left="25" w:leftChars="12" w:firstLine="472" w:firstLineChars="197"/>
        <w:rPr>
          <w:rFonts w:ascii="宋体" w:hAnsi="宋体" w:cs="宋体"/>
          <w:color w:val="auto"/>
          <w:kern w:val="0"/>
          <w:sz w:val="24"/>
          <w:highlight w:val="none"/>
        </w:rPr>
      </w:pPr>
      <w:r>
        <w:rPr>
          <w:rFonts w:hint="eastAsia" w:ascii="宋体" w:hAnsi="宋体" w:cs="宋体"/>
          <w:bCs/>
          <w:color w:val="auto"/>
          <w:kern w:val="0"/>
          <w:sz w:val="24"/>
          <w:highlight w:val="none"/>
        </w:rPr>
        <w:t xml:space="preserve">                                                                                 </w:t>
      </w:r>
    </w:p>
    <w:p>
      <w:pPr>
        <w:snapToGrid w:val="0"/>
        <w:spacing w:line="360" w:lineRule="auto"/>
        <w:rPr>
          <w:rFonts w:ascii="宋体" w:hAnsi="宋体" w:cs="宋体"/>
          <w:b/>
          <w:color w:val="auto"/>
          <w:kern w:val="0"/>
          <w:sz w:val="24"/>
          <w:highlight w:val="none"/>
        </w:rPr>
      </w:pPr>
    </w:p>
    <w:p>
      <w:pPr>
        <w:snapToGrid w:val="0"/>
        <w:spacing w:line="360" w:lineRule="auto"/>
        <w:rPr>
          <w:rFonts w:ascii="宋体" w:hAnsi="宋体" w:cs="宋体"/>
          <w:b/>
          <w:color w:val="auto"/>
          <w:kern w:val="0"/>
          <w:sz w:val="24"/>
          <w:highlight w:val="none"/>
        </w:rPr>
      </w:pPr>
      <w:r>
        <w:rPr>
          <w:rFonts w:hint="eastAsia" w:ascii="宋体" w:hAnsi="宋体" w:cs="宋体"/>
          <w:b/>
          <w:color w:val="auto"/>
          <w:kern w:val="0"/>
          <w:sz w:val="24"/>
          <w:highlight w:val="none"/>
        </w:rPr>
        <w:t>说明：</w:t>
      </w:r>
    </w:p>
    <w:p>
      <w:pPr>
        <w:spacing w:line="360" w:lineRule="auto"/>
        <w:ind w:left="25" w:leftChars="12" w:firstLine="354" w:firstLineChars="147"/>
        <w:rPr>
          <w:rFonts w:ascii="宋体" w:hAnsi="宋体" w:cs="宋体"/>
          <w:b/>
          <w:bCs/>
          <w:color w:val="auto"/>
          <w:kern w:val="0"/>
          <w:sz w:val="24"/>
          <w:highlight w:val="none"/>
        </w:rPr>
      </w:pPr>
      <w:r>
        <w:rPr>
          <w:rFonts w:hint="eastAsia" w:ascii="宋体" w:hAnsi="宋体" w:cs="宋体"/>
          <w:b/>
          <w:color w:val="auto"/>
          <w:kern w:val="0"/>
          <w:sz w:val="24"/>
          <w:highlight w:val="none"/>
        </w:rPr>
        <w:t>1.投诉人提起投诉时，应当提交投诉书和必要的证明材料，并按照被投诉人和与投诉事项有关的供应商数量提供投诉书副本</w:t>
      </w:r>
      <w:r>
        <w:rPr>
          <w:rFonts w:hint="eastAsia" w:ascii="宋体" w:hAnsi="宋体" w:cs="宋体"/>
          <w:b/>
          <w:bCs/>
          <w:color w:val="auto"/>
          <w:kern w:val="0"/>
          <w:sz w:val="24"/>
          <w:highlight w:val="none"/>
        </w:rPr>
        <w:t>。</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3.投诉书应简要列明质疑事项，质疑函、质疑答复等作为附件材料提供。</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4.投诉书的投诉事项应具体、明确，并有必要的事实依据和法律依据。</w:t>
      </w:r>
    </w:p>
    <w:p>
      <w:pPr>
        <w:spacing w:line="360" w:lineRule="auto"/>
        <w:ind w:left="25" w:leftChars="12" w:firstLine="354" w:firstLineChars="147"/>
        <w:rPr>
          <w:rFonts w:ascii="宋体" w:hAnsi="宋体" w:cs="宋体"/>
          <w:b/>
          <w:color w:val="auto"/>
          <w:kern w:val="0"/>
          <w:sz w:val="24"/>
          <w:highlight w:val="none"/>
        </w:rPr>
      </w:pPr>
      <w:r>
        <w:rPr>
          <w:rFonts w:hint="eastAsia" w:ascii="宋体" w:hAnsi="宋体" w:cs="宋体"/>
          <w:b/>
          <w:color w:val="auto"/>
          <w:kern w:val="0"/>
          <w:sz w:val="24"/>
          <w:highlight w:val="none"/>
        </w:rPr>
        <w:t>5.投诉书的投诉请求应与投诉事项相关。</w:t>
      </w:r>
    </w:p>
    <w:p>
      <w:pPr>
        <w:spacing w:line="360" w:lineRule="auto"/>
        <w:ind w:left="25" w:leftChars="12" w:firstLine="354" w:firstLineChars="147"/>
        <w:rPr>
          <w:rFonts w:ascii="宋体" w:hAnsi="宋体" w:cs="宋体"/>
          <w:color w:val="auto"/>
          <w:highlight w:val="none"/>
        </w:rPr>
      </w:pPr>
      <w:r>
        <w:rPr>
          <w:rFonts w:hint="eastAsia" w:ascii="宋体" w:hAnsi="宋体" w:cs="宋体"/>
          <w:b/>
          <w:color w:val="auto"/>
          <w:kern w:val="0"/>
          <w:sz w:val="24"/>
          <w:highlight w:val="none"/>
        </w:rPr>
        <w:t>6.投诉人为法人或者其他组织的，投诉书应由法定代表人、主要负责人，或者其授权代表签字或者盖章，并加盖公章。</w:t>
      </w:r>
    </w:p>
    <w:p>
      <w:pPr>
        <w:rPr>
          <w:color w:val="auto"/>
          <w:highlight w:val="none"/>
        </w:rPr>
      </w:pPr>
    </w:p>
    <w:sectPr>
      <w:headerReference r:id="rId12" w:type="default"/>
      <w:footerReference r:id="rId13" w:type="default"/>
      <w:pgSz w:w="11911" w:h="16838"/>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DejaVu Sans">
    <w:panose1 w:val="020B0603030804020204"/>
    <w:charset w:val="00"/>
    <w:family w:val="roman"/>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仿宋">
    <w:altName w:val="宋体"/>
    <w:panose1 w:val="02010609060101010101"/>
    <w:charset w:val="86"/>
    <w:family w:val="modern"/>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200101FF" w:csb1="20280000"/>
  </w:font>
  <w:font w:name="Helvetica">
    <w:altName w:val="NanumBarunGothic"/>
    <w:panose1 w:val="020B0604020202020204"/>
    <w:charset w:val="00"/>
    <w:family w:val="swiss"/>
    <w:pitch w:val="default"/>
    <w:sig w:usb0="00000000" w:usb1="00000000" w:usb2="00000009" w:usb3="00000000" w:csb0="000001FF" w:csb1="00000000"/>
  </w:font>
  <w:font w:name="Verdana">
    <w:altName w:val="DejaVu Sans"/>
    <w:panose1 w:val="020B0604030504040204"/>
    <w:charset w:val="00"/>
    <w:family w:val="swiss"/>
    <w:pitch w:val="default"/>
    <w:sig w:usb0="00000000" w:usb1="00000000" w:usb2="00000010" w:usb3="00000000" w:csb0="2000019F" w:csb1="00000000"/>
  </w:font>
  <w:font w:name="隶书">
    <w:altName w:val="宋体"/>
    <w:panose1 w:val="02010509060101010101"/>
    <w:charset w:val="86"/>
    <w:family w:val="modern"/>
    <w:pitch w:val="default"/>
    <w:sig w:usb0="00000000" w:usb1="00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仿宋_GBK">
    <w:panose1 w:val="02000000000000000000"/>
    <w:charset w:val="86"/>
    <w:family w:val="auto"/>
    <w:pitch w:val="default"/>
    <w:sig w:usb0="00000001" w:usb1="08000000" w:usb2="00000000" w:usb3="00000000" w:csb0="00040000" w:csb1="00000000"/>
  </w:font>
  <w:font w:name="NanumBarunGothic">
    <w:panose1 w:val="020B0603020101020101"/>
    <w:charset w:val="81"/>
    <w:family w:val="auto"/>
    <w:pitch w:val="default"/>
    <w:sig w:usb0="800002A7" w:usb1="01D77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5"/>
        <w:rFonts w:ascii="Calibri" w:hAnsi="Calibri"/>
        <w:sz w:val="21"/>
      </w:rPr>
    </w:pPr>
    <w:r>
      <w:rPr>
        <w:rFonts w:ascii="Calibri" w:hAnsi="Calibri"/>
        <w:sz w:val="21"/>
      </w:rPr>
      <w:fldChar w:fldCharType="begin"/>
    </w:r>
    <w:r>
      <w:rPr>
        <w:rStyle w:val="35"/>
        <w:rFonts w:ascii="Calibri" w:hAnsi="Calibri"/>
        <w:sz w:val="21"/>
      </w:rPr>
      <w:instrText xml:space="preserve">PAGE  </w:instrText>
    </w:r>
    <w:r>
      <w:rPr>
        <w:rFonts w:ascii="Calibri" w:hAnsi="Calibri"/>
        <w:sz w:val="21"/>
      </w:rPr>
      <w:fldChar w:fldCharType="separate"/>
    </w:r>
    <w:r>
      <w:rPr>
        <w:rStyle w:val="35"/>
        <w:rFonts w:ascii="Calibri" w:hAnsi="Calibri"/>
        <w:sz w:val="21"/>
      </w:rPr>
      <w:t>0</w:t>
    </w:r>
    <w:r>
      <w:rPr>
        <w:rFonts w:ascii="Calibri" w:hAnsi="Calibri"/>
        <w:sz w:val="21"/>
      </w:rPr>
      <w:fldChar w:fldCharType="end"/>
    </w:r>
  </w:p>
  <w:p>
    <w:pPr>
      <w:pStyle w:val="22"/>
      <w:rPr>
        <w:rFonts w:ascii="Calibri" w:hAnsi="Calibri"/>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jc w:val="both"/>
      <w:rPr>
        <w:rFonts w:ascii="Calibri" w:hAnsi="Calibri"/>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1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文本框 513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GCJ0cC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439"/>
        <w:tab w:val="clear" w:pos="4153"/>
      </w:tabs>
      <w:rPr>
        <w:rFonts w:ascii="Calibri" w:hAnsi="Calibri"/>
      </w:rPr>
    </w:pPr>
    <w:r>
      <w:rPr>
        <w:rFonts w:ascii="Calibri" w:hAnsi="Calibri"/>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1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ascii="Calibri" w:hAnsi="Calibri"/>
                            </w:rPr>
                          </w:pPr>
                        </w:p>
                      </w:txbxContent>
                    </wps:txbx>
                    <wps:bodyPr wrap="none" lIns="0" tIns="0" rIns="0" bIns="0" upright="1">
                      <a:spAutoFit/>
                    </wps:bodyPr>
                  </wps:wsp>
                </a:graphicData>
              </a:graphic>
            </wp:anchor>
          </w:drawing>
        </mc:Choice>
        <mc:Fallback>
          <w:pict>
            <v:shape id="文本框 51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OqXm5zwAAAAUBAAAPAAAAAAAAAAEAIAAAADgAAABkcnMvZG93bnJldi54bWxQ&#10;SwECFAAUAAAACACHTuJArzXkmrEBAABOAwAADgAAAAAAAAABACAAAAA0AQAAZHJzL2Uyb0RvYy54&#10;bWxQSwUGAAAAAAYABgBZAQAAVwUAAAAA&#10;">
              <v:fill on="f" focussize="0,0"/>
              <v:stroke on="f"/>
              <v:imagedata o:title=""/>
              <o:lock v:ext="edit" aspectratio="f"/>
              <v:textbox inset="0mm,0mm,0mm,0mm" style="mso-fit-shape-to-text:t;">
                <w:txbxContent>
                  <w:p>
                    <w:pPr>
                      <w:rPr>
                        <w:rFonts w:ascii="Calibri" w:hAnsi="Calibri"/>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ascii="Calibri" w:hAnsi="Calibri"/>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513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LZbY1uyAQAATgMAAA4AAAAAAAAAAQAgAAAANAEAAGRycy9lMm9Eb2Mu&#10;eG1sUEsFBgAAAAAGAAYAWQEAAFgFAAAAAA==&#10;">
              <v:fill on="f" focussize="0,0"/>
              <v:stroke on="f"/>
              <v:imagedata o:title=""/>
              <o:lock v:ext="edit" aspectratio="f"/>
              <v:textbox inset="0mm,0mm,0mm,0mm" style="mso-fit-shape-to-text:t;">
                <w:txbxContent>
                  <w:p>
                    <w:pPr>
                      <w:pStyle w:val="2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p>
    <w:pPr>
      <w:pStyle w:val="22"/>
      <w:rPr>
        <w:rFonts w:ascii="Calibri" w:hAnsi="Calibri"/>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1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wps:txbx>
                    <wps:bodyPr wrap="none" lIns="0" tIns="0" rIns="0" bIns="0" upright="1">
                      <a:spAutoFit/>
                    </wps:bodyPr>
                  </wps:wsp>
                </a:graphicData>
              </a:graphic>
            </wp:anchor>
          </w:drawing>
        </mc:Choice>
        <mc:Fallback>
          <w:pict>
            <v:shape id="文本框 512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JBQD4CyAQAATgMAAA4AAAAAAAAAAQAgAAAANAEAAGRycy9lMm9Eb2Mu&#10;eG1sUEsFBgAAAAAGAAYAWQEAAFgFAAAAAA==&#10;">
              <v:fill on="f" focussize="0,0"/>
              <v:stroke on="f"/>
              <v:imagedata o:title=""/>
              <o:lock v:ext="edit" aspectratio="f"/>
              <v:textbox inset="0mm,0mm,0mm,0mm" style="mso-fit-shape-to-text:t;">
                <w:txbxContent>
                  <w:p>
                    <w:pPr>
                      <w:pStyle w:val="22"/>
                      <w:jc w:val="center"/>
                    </w:pPr>
                    <w:r>
                      <w:rPr>
                        <w:rFonts w:hint="eastAsia"/>
                      </w:rPr>
                      <w:fldChar w:fldCharType="begin"/>
                    </w:r>
                    <w:r>
                      <w:rPr>
                        <w:rFonts w:hint="eastAsia"/>
                      </w:rPr>
                      <w:instrText xml:space="preserve"> PAGE  \* MERGEFORMAT </w:instrText>
                    </w:r>
                    <w:r>
                      <w:rPr>
                        <w:rFonts w:hint="eastAsia"/>
                      </w:rPr>
                      <w:fldChar w:fldCharType="separate"/>
                    </w:r>
                    <w:r>
                      <w:t>76</w:t>
                    </w:r>
                    <w:r>
                      <w:rPr>
                        <w:rFonts w:hint="eastAsia"/>
                      </w:rPr>
                      <w:fldChar w:fldCharType="end"/>
                    </w:r>
                  </w:p>
                </w:txbxContent>
              </v:textbox>
            </v:shape>
          </w:pict>
        </mc:Fallback>
      </mc:AlternateContent>
    </w:r>
  </w:p>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tabs>
        <w:tab w:val="center" w:pos="0"/>
        <w:tab w:val="clear" w:pos="4153"/>
      </w:tabs>
      <w:rPr>
        <w:rFonts w:ascii="Calibri" w:hAnsi="Calibri"/>
      </w:rPr>
    </w:pPr>
    <w:r>
      <w:rPr>
        <w:rFonts w:hint="eastAsia" w:ascii="Calibri" w:hAnsi="Calibri"/>
      </w:rPr>
      <w:t>南宁市政府采购竞争性磋商采购文件（项目编号：NNZC2021-C3--KLZB）</w:t>
    </w:r>
  </w:p>
  <w:p>
    <w:pPr>
      <w:pStyle w:val="23"/>
      <w:pBdr>
        <w:bottom w:val="none" w:color="auto" w:sz="0" w:space="1"/>
      </w:pBdr>
      <w:rPr>
        <w:rFonts w:ascii="Calibri" w:hAnsi="Calibri"/>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&gt;</w:t>
    </w:r>
  </w:p>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EC241D"/>
    <w:multiLevelType w:val="singleLevel"/>
    <w:tmpl w:val="D7EC241D"/>
    <w:lvl w:ilvl="0" w:tentative="0">
      <w:start w:val="1"/>
      <w:numFmt w:val="decimal"/>
      <w:suff w:val="nothing"/>
      <w:lvlText w:val="（%1）"/>
      <w:lvlJc w:val="left"/>
    </w:lvl>
  </w:abstractNum>
  <w:abstractNum w:abstractNumId="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595501A"/>
    <w:multiLevelType w:val="multilevel"/>
    <w:tmpl w:val="0595501A"/>
    <w:lvl w:ilvl="0" w:tentative="0">
      <w:start w:val="1"/>
      <w:numFmt w:val="decimal"/>
      <w:suff w:val="space"/>
      <w:lvlText w:val="%1."/>
      <w:lvlJc w:val="left"/>
      <w:pPr>
        <w:ind w:left="0" w:firstLine="0"/>
      </w:pPr>
      <w:rPr>
        <w:rFonts w:hint="eastAsia"/>
      </w:rPr>
    </w:lvl>
    <w:lvl w:ilvl="1" w:tentative="0">
      <w:start w:val="1"/>
      <w:numFmt w:val="decimal"/>
      <w:isLgl/>
      <w:suff w:val="space"/>
      <w:lvlText w:val="%1.%2"/>
      <w:lvlJc w:val="left"/>
      <w:pPr>
        <w:ind w:left="0" w:firstLine="0"/>
      </w:pPr>
      <w:rPr>
        <w:rFonts w:hint="eastAsia"/>
      </w:rPr>
    </w:lvl>
    <w:lvl w:ilvl="2" w:tentative="0">
      <w:start w:val="1"/>
      <w:numFmt w:val="decimal"/>
      <w:pStyle w:val="91"/>
      <w:isLgl/>
      <w:suff w:val="space"/>
      <w:lvlText w:val="%1.%2.%3"/>
      <w:lvlJc w:val="left"/>
      <w:pPr>
        <w:ind w:left="0" w:firstLine="0"/>
      </w:pPr>
      <w:rPr>
        <w:rFonts w:hint="eastAsia"/>
        <w:b w:val="0"/>
        <w:i w:val="0"/>
        <w:color w:val="auto"/>
      </w:rPr>
    </w:lvl>
    <w:lvl w:ilvl="3" w:tentative="0">
      <w:start w:val="1"/>
      <w:numFmt w:val="decimal"/>
      <w:isLgl/>
      <w:suff w:val="space"/>
      <w:lvlText w:val="%1.%2.%3.%4"/>
      <w:lvlJc w:val="left"/>
      <w:pPr>
        <w:ind w:left="0" w:firstLine="0"/>
      </w:pPr>
      <w:rPr>
        <w:rFonts w:hint="eastAsia"/>
      </w:rPr>
    </w:lvl>
    <w:lvl w:ilvl="4" w:tentative="0">
      <w:start w:val="1"/>
      <w:numFmt w:val="decimal"/>
      <w:isLgl/>
      <w:lvlText w:val="%1.%2.%3.%4.%5"/>
      <w:lvlJc w:val="left"/>
      <w:pPr>
        <w:tabs>
          <w:tab w:val="left" w:pos="0"/>
        </w:tabs>
        <w:ind w:left="0" w:firstLine="0"/>
      </w:pPr>
      <w:rPr>
        <w:rFonts w:hint="eastAsia"/>
      </w:rPr>
    </w:lvl>
    <w:lvl w:ilvl="5" w:tentative="0">
      <w:start w:val="1"/>
      <w:numFmt w:val="decimal"/>
      <w:lvlText w:val="%1.%2.%3.%4.%5.%6"/>
      <w:lvlJc w:val="left"/>
      <w:pPr>
        <w:tabs>
          <w:tab w:val="left" w:pos="6086"/>
        </w:tabs>
        <w:ind w:left="3260" w:hanging="1134"/>
      </w:pPr>
      <w:rPr>
        <w:rFonts w:hint="eastAsia"/>
      </w:rPr>
    </w:lvl>
    <w:lvl w:ilvl="6" w:tentative="0">
      <w:start w:val="1"/>
      <w:numFmt w:val="decimal"/>
      <w:lvlText w:val="%1.%2.%3.%4.%5.%6.%7"/>
      <w:lvlJc w:val="left"/>
      <w:pPr>
        <w:tabs>
          <w:tab w:val="left" w:pos="7231"/>
        </w:tabs>
        <w:ind w:left="3827" w:hanging="1276"/>
      </w:pPr>
      <w:rPr>
        <w:rFonts w:hint="eastAsia"/>
      </w:rPr>
    </w:lvl>
    <w:lvl w:ilvl="7" w:tentative="0">
      <w:start w:val="1"/>
      <w:numFmt w:val="decimal"/>
      <w:lvlText w:val="%1.%2.%3.%4.%5.%6.%7.%8"/>
      <w:lvlJc w:val="left"/>
      <w:pPr>
        <w:tabs>
          <w:tab w:val="left" w:pos="8376"/>
        </w:tabs>
        <w:ind w:left="4394" w:hanging="1418"/>
      </w:pPr>
      <w:rPr>
        <w:rFonts w:hint="eastAsia"/>
      </w:rPr>
    </w:lvl>
    <w:lvl w:ilvl="8" w:tentative="0">
      <w:start w:val="1"/>
      <w:numFmt w:val="decimal"/>
      <w:lvlText w:val="%1.%2.%3.%4.%5.%6.%7.%8.%9"/>
      <w:lvlJc w:val="left"/>
      <w:pPr>
        <w:tabs>
          <w:tab w:val="left" w:pos="9522"/>
        </w:tabs>
        <w:ind w:left="5102" w:hanging="1700"/>
      </w:pPr>
      <w:rPr>
        <w:rFonts w:hint="eastAsia"/>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F34B14"/>
    <w:rsid w:val="00000672"/>
    <w:rsid w:val="00001013"/>
    <w:rsid w:val="00001799"/>
    <w:rsid w:val="00001AF2"/>
    <w:rsid w:val="00001ECA"/>
    <w:rsid w:val="00002D29"/>
    <w:rsid w:val="00003B93"/>
    <w:rsid w:val="0000474D"/>
    <w:rsid w:val="00005FDF"/>
    <w:rsid w:val="000070B3"/>
    <w:rsid w:val="000076B8"/>
    <w:rsid w:val="0001047A"/>
    <w:rsid w:val="000109DC"/>
    <w:rsid w:val="00010D39"/>
    <w:rsid w:val="0001172C"/>
    <w:rsid w:val="00011A4D"/>
    <w:rsid w:val="00011BC9"/>
    <w:rsid w:val="00012854"/>
    <w:rsid w:val="00012EA6"/>
    <w:rsid w:val="00013359"/>
    <w:rsid w:val="000139CF"/>
    <w:rsid w:val="00013AA4"/>
    <w:rsid w:val="00013DFE"/>
    <w:rsid w:val="000141EA"/>
    <w:rsid w:val="00015094"/>
    <w:rsid w:val="00016ABC"/>
    <w:rsid w:val="000176C5"/>
    <w:rsid w:val="000177DB"/>
    <w:rsid w:val="000179C9"/>
    <w:rsid w:val="00017CCC"/>
    <w:rsid w:val="00020227"/>
    <w:rsid w:val="00020263"/>
    <w:rsid w:val="00020455"/>
    <w:rsid w:val="00020527"/>
    <w:rsid w:val="00020813"/>
    <w:rsid w:val="000220B2"/>
    <w:rsid w:val="0002264C"/>
    <w:rsid w:val="00022731"/>
    <w:rsid w:val="00022792"/>
    <w:rsid w:val="00024463"/>
    <w:rsid w:val="00025461"/>
    <w:rsid w:val="00025636"/>
    <w:rsid w:val="00025E36"/>
    <w:rsid w:val="00026855"/>
    <w:rsid w:val="00026886"/>
    <w:rsid w:val="0002785D"/>
    <w:rsid w:val="000329E0"/>
    <w:rsid w:val="00032E5A"/>
    <w:rsid w:val="00034390"/>
    <w:rsid w:val="000352E9"/>
    <w:rsid w:val="00035494"/>
    <w:rsid w:val="00036125"/>
    <w:rsid w:val="00036A07"/>
    <w:rsid w:val="0003780B"/>
    <w:rsid w:val="00040571"/>
    <w:rsid w:val="00040973"/>
    <w:rsid w:val="0004156E"/>
    <w:rsid w:val="00041713"/>
    <w:rsid w:val="0004440C"/>
    <w:rsid w:val="00046B5E"/>
    <w:rsid w:val="000470CB"/>
    <w:rsid w:val="000509D9"/>
    <w:rsid w:val="00051316"/>
    <w:rsid w:val="00051ACB"/>
    <w:rsid w:val="00052451"/>
    <w:rsid w:val="000533E7"/>
    <w:rsid w:val="00055D41"/>
    <w:rsid w:val="00057CD6"/>
    <w:rsid w:val="00060DCE"/>
    <w:rsid w:val="000610E3"/>
    <w:rsid w:val="000614F3"/>
    <w:rsid w:val="000623B4"/>
    <w:rsid w:val="00062405"/>
    <w:rsid w:val="000634A7"/>
    <w:rsid w:val="00063B0B"/>
    <w:rsid w:val="00063F81"/>
    <w:rsid w:val="00064847"/>
    <w:rsid w:val="00065E08"/>
    <w:rsid w:val="000673E2"/>
    <w:rsid w:val="0007063F"/>
    <w:rsid w:val="00070740"/>
    <w:rsid w:val="000707FD"/>
    <w:rsid w:val="00070949"/>
    <w:rsid w:val="000711E4"/>
    <w:rsid w:val="000724D9"/>
    <w:rsid w:val="00072AED"/>
    <w:rsid w:val="00073F47"/>
    <w:rsid w:val="0007492F"/>
    <w:rsid w:val="00074ED8"/>
    <w:rsid w:val="000752AF"/>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33BE"/>
    <w:rsid w:val="00093CD4"/>
    <w:rsid w:val="0009560F"/>
    <w:rsid w:val="0009588E"/>
    <w:rsid w:val="000959EE"/>
    <w:rsid w:val="00097183"/>
    <w:rsid w:val="000972CB"/>
    <w:rsid w:val="00097608"/>
    <w:rsid w:val="000A13F3"/>
    <w:rsid w:val="000A23B1"/>
    <w:rsid w:val="000A2B0E"/>
    <w:rsid w:val="000A398F"/>
    <w:rsid w:val="000A3BB7"/>
    <w:rsid w:val="000A448C"/>
    <w:rsid w:val="000A509C"/>
    <w:rsid w:val="000A54A7"/>
    <w:rsid w:val="000A6007"/>
    <w:rsid w:val="000A65A6"/>
    <w:rsid w:val="000A70E3"/>
    <w:rsid w:val="000A7275"/>
    <w:rsid w:val="000A7A12"/>
    <w:rsid w:val="000A7A72"/>
    <w:rsid w:val="000B1202"/>
    <w:rsid w:val="000B1801"/>
    <w:rsid w:val="000B1D0C"/>
    <w:rsid w:val="000B2273"/>
    <w:rsid w:val="000B2585"/>
    <w:rsid w:val="000B2BC6"/>
    <w:rsid w:val="000B2D03"/>
    <w:rsid w:val="000B3815"/>
    <w:rsid w:val="000B3C7B"/>
    <w:rsid w:val="000B4321"/>
    <w:rsid w:val="000B552E"/>
    <w:rsid w:val="000B6A6B"/>
    <w:rsid w:val="000B6C95"/>
    <w:rsid w:val="000B79FC"/>
    <w:rsid w:val="000B7BD1"/>
    <w:rsid w:val="000C02B1"/>
    <w:rsid w:val="000C1679"/>
    <w:rsid w:val="000C1EE3"/>
    <w:rsid w:val="000C3AE7"/>
    <w:rsid w:val="000C3CC9"/>
    <w:rsid w:val="000C5ED6"/>
    <w:rsid w:val="000C6DE4"/>
    <w:rsid w:val="000C7202"/>
    <w:rsid w:val="000D0A89"/>
    <w:rsid w:val="000D0AFC"/>
    <w:rsid w:val="000D1389"/>
    <w:rsid w:val="000D1798"/>
    <w:rsid w:val="000D2626"/>
    <w:rsid w:val="000D291C"/>
    <w:rsid w:val="000D3FB6"/>
    <w:rsid w:val="000D411D"/>
    <w:rsid w:val="000D4589"/>
    <w:rsid w:val="000D4809"/>
    <w:rsid w:val="000D73DD"/>
    <w:rsid w:val="000E1C51"/>
    <w:rsid w:val="000E28AB"/>
    <w:rsid w:val="000E2E3E"/>
    <w:rsid w:val="000E3583"/>
    <w:rsid w:val="000E3AF0"/>
    <w:rsid w:val="000E4E04"/>
    <w:rsid w:val="000E693B"/>
    <w:rsid w:val="000E6EC9"/>
    <w:rsid w:val="000E70B4"/>
    <w:rsid w:val="000E7B62"/>
    <w:rsid w:val="000F0E1E"/>
    <w:rsid w:val="000F17E5"/>
    <w:rsid w:val="000F1A1B"/>
    <w:rsid w:val="000F2A95"/>
    <w:rsid w:val="000F3281"/>
    <w:rsid w:val="000F32FD"/>
    <w:rsid w:val="000F3733"/>
    <w:rsid w:val="000F439E"/>
    <w:rsid w:val="000F5F8B"/>
    <w:rsid w:val="000F6153"/>
    <w:rsid w:val="000F63C8"/>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68"/>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63B8"/>
    <w:rsid w:val="0012763E"/>
    <w:rsid w:val="00130217"/>
    <w:rsid w:val="00130783"/>
    <w:rsid w:val="00130A47"/>
    <w:rsid w:val="00130D7C"/>
    <w:rsid w:val="00132B47"/>
    <w:rsid w:val="001337F8"/>
    <w:rsid w:val="001348B4"/>
    <w:rsid w:val="001351CB"/>
    <w:rsid w:val="00135530"/>
    <w:rsid w:val="00135947"/>
    <w:rsid w:val="001359A2"/>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5AA"/>
    <w:rsid w:val="00152A87"/>
    <w:rsid w:val="00153BB5"/>
    <w:rsid w:val="00154518"/>
    <w:rsid w:val="00156359"/>
    <w:rsid w:val="001568F3"/>
    <w:rsid w:val="00156DD6"/>
    <w:rsid w:val="0016086E"/>
    <w:rsid w:val="00160D0C"/>
    <w:rsid w:val="00161172"/>
    <w:rsid w:val="00161998"/>
    <w:rsid w:val="00161E65"/>
    <w:rsid w:val="00162597"/>
    <w:rsid w:val="001629AF"/>
    <w:rsid w:val="001629FD"/>
    <w:rsid w:val="0016428A"/>
    <w:rsid w:val="001647C9"/>
    <w:rsid w:val="001655B2"/>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CA7"/>
    <w:rsid w:val="00176F8E"/>
    <w:rsid w:val="001778C5"/>
    <w:rsid w:val="00177E56"/>
    <w:rsid w:val="00177F0A"/>
    <w:rsid w:val="00180DA0"/>
    <w:rsid w:val="00181EAD"/>
    <w:rsid w:val="00181F43"/>
    <w:rsid w:val="00182862"/>
    <w:rsid w:val="00184F57"/>
    <w:rsid w:val="00185544"/>
    <w:rsid w:val="00185617"/>
    <w:rsid w:val="00186823"/>
    <w:rsid w:val="00186FE1"/>
    <w:rsid w:val="00187A14"/>
    <w:rsid w:val="0019171E"/>
    <w:rsid w:val="00192368"/>
    <w:rsid w:val="001923A0"/>
    <w:rsid w:val="001928B1"/>
    <w:rsid w:val="00193537"/>
    <w:rsid w:val="00193846"/>
    <w:rsid w:val="00194EC8"/>
    <w:rsid w:val="00195424"/>
    <w:rsid w:val="001955FF"/>
    <w:rsid w:val="00196D6E"/>
    <w:rsid w:val="00197EDD"/>
    <w:rsid w:val="001A02B3"/>
    <w:rsid w:val="001A04BB"/>
    <w:rsid w:val="001A08D0"/>
    <w:rsid w:val="001A1B39"/>
    <w:rsid w:val="001A2120"/>
    <w:rsid w:val="001A28C6"/>
    <w:rsid w:val="001A2E69"/>
    <w:rsid w:val="001A3C34"/>
    <w:rsid w:val="001A3EDE"/>
    <w:rsid w:val="001A4222"/>
    <w:rsid w:val="001A50EA"/>
    <w:rsid w:val="001A5BA2"/>
    <w:rsid w:val="001A5E24"/>
    <w:rsid w:val="001A6B27"/>
    <w:rsid w:val="001A6D8B"/>
    <w:rsid w:val="001A6DAA"/>
    <w:rsid w:val="001A7717"/>
    <w:rsid w:val="001A793A"/>
    <w:rsid w:val="001B125A"/>
    <w:rsid w:val="001B1EBA"/>
    <w:rsid w:val="001B2142"/>
    <w:rsid w:val="001B2F2B"/>
    <w:rsid w:val="001B327A"/>
    <w:rsid w:val="001B35DE"/>
    <w:rsid w:val="001B3A13"/>
    <w:rsid w:val="001B3F5C"/>
    <w:rsid w:val="001B59FF"/>
    <w:rsid w:val="001B6512"/>
    <w:rsid w:val="001B65D7"/>
    <w:rsid w:val="001B6752"/>
    <w:rsid w:val="001B6768"/>
    <w:rsid w:val="001B6F1F"/>
    <w:rsid w:val="001B7CD7"/>
    <w:rsid w:val="001B7ECC"/>
    <w:rsid w:val="001C025B"/>
    <w:rsid w:val="001C115F"/>
    <w:rsid w:val="001C1EAB"/>
    <w:rsid w:val="001C25A7"/>
    <w:rsid w:val="001C318C"/>
    <w:rsid w:val="001C35C4"/>
    <w:rsid w:val="001C4287"/>
    <w:rsid w:val="001C4479"/>
    <w:rsid w:val="001C5190"/>
    <w:rsid w:val="001C6081"/>
    <w:rsid w:val="001C6F1B"/>
    <w:rsid w:val="001C7B48"/>
    <w:rsid w:val="001D0CFB"/>
    <w:rsid w:val="001D1A0D"/>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3B63"/>
    <w:rsid w:val="001E522E"/>
    <w:rsid w:val="001E5A94"/>
    <w:rsid w:val="001E5F6F"/>
    <w:rsid w:val="001F0373"/>
    <w:rsid w:val="001F2A2E"/>
    <w:rsid w:val="001F2BB8"/>
    <w:rsid w:val="001F3356"/>
    <w:rsid w:val="001F3C63"/>
    <w:rsid w:val="001F4460"/>
    <w:rsid w:val="001F4F4F"/>
    <w:rsid w:val="001F711A"/>
    <w:rsid w:val="001F75B0"/>
    <w:rsid w:val="00200CE5"/>
    <w:rsid w:val="00200F7C"/>
    <w:rsid w:val="002014DB"/>
    <w:rsid w:val="0020150B"/>
    <w:rsid w:val="00201E12"/>
    <w:rsid w:val="002033B5"/>
    <w:rsid w:val="0020382C"/>
    <w:rsid w:val="0020437A"/>
    <w:rsid w:val="0020454C"/>
    <w:rsid w:val="00204740"/>
    <w:rsid w:val="00205129"/>
    <w:rsid w:val="0020521F"/>
    <w:rsid w:val="0020532C"/>
    <w:rsid w:val="0021060F"/>
    <w:rsid w:val="002114C7"/>
    <w:rsid w:val="0021302C"/>
    <w:rsid w:val="00213B1C"/>
    <w:rsid w:val="00214202"/>
    <w:rsid w:val="002148E3"/>
    <w:rsid w:val="00214FD7"/>
    <w:rsid w:val="0021552D"/>
    <w:rsid w:val="002156AE"/>
    <w:rsid w:val="00215E99"/>
    <w:rsid w:val="0022054D"/>
    <w:rsid w:val="00223DDB"/>
    <w:rsid w:val="00223FA4"/>
    <w:rsid w:val="00223FB0"/>
    <w:rsid w:val="00224067"/>
    <w:rsid w:val="0022421C"/>
    <w:rsid w:val="00224E83"/>
    <w:rsid w:val="00225664"/>
    <w:rsid w:val="0022663D"/>
    <w:rsid w:val="00227F2D"/>
    <w:rsid w:val="00230179"/>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097B"/>
    <w:rsid w:val="00250A51"/>
    <w:rsid w:val="00251043"/>
    <w:rsid w:val="00251C4A"/>
    <w:rsid w:val="0025271C"/>
    <w:rsid w:val="002529E4"/>
    <w:rsid w:val="002533CD"/>
    <w:rsid w:val="002535EA"/>
    <w:rsid w:val="00253CBA"/>
    <w:rsid w:val="00254EAB"/>
    <w:rsid w:val="002557AF"/>
    <w:rsid w:val="0025589C"/>
    <w:rsid w:val="00255B62"/>
    <w:rsid w:val="002566B1"/>
    <w:rsid w:val="002575E3"/>
    <w:rsid w:val="00257A74"/>
    <w:rsid w:val="002603C1"/>
    <w:rsid w:val="002609A1"/>
    <w:rsid w:val="002612B1"/>
    <w:rsid w:val="00266165"/>
    <w:rsid w:val="002662FE"/>
    <w:rsid w:val="00266F2C"/>
    <w:rsid w:val="0027125E"/>
    <w:rsid w:val="00271767"/>
    <w:rsid w:val="00271785"/>
    <w:rsid w:val="00272293"/>
    <w:rsid w:val="002723C8"/>
    <w:rsid w:val="00273C2A"/>
    <w:rsid w:val="00273CBE"/>
    <w:rsid w:val="002746B1"/>
    <w:rsid w:val="00274BAD"/>
    <w:rsid w:val="002754D6"/>
    <w:rsid w:val="00282D56"/>
    <w:rsid w:val="002835B0"/>
    <w:rsid w:val="00283C74"/>
    <w:rsid w:val="0028407E"/>
    <w:rsid w:val="0028410F"/>
    <w:rsid w:val="00284572"/>
    <w:rsid w:val="00285221"/>
    <w:rsid w:val="00286FB5"/>
    <w:rsid w:val="00287763"/>
    <w:rsid w:val="00287FCB"/>
    <w:rsid w:val="00290606"/>
    <w:rsid w:val="002909B2"/>
    <w:rsid w:val="00290A98"/>
    <w:rsid w:val="00291D6D"/>
    <w:rsid w:val="00291FF1"/>
    <w:rsid w:val="00292AA2"/>
    <w:rsid w:val="00293361"/>
    <w:rsid w:val="002952B1"/>
    <w:rsid w:val="00295D11"/>
    <w:rsid w:val="00296FB6"/>
    <w:rsid w:val="002A0001"/>
    <w:rsid w:val="002A0BD9"/>
    <w:rsid w:val="002A0C3A"/>
    <w:rsid w:val="002A1130"/>
    <w:rsid w:val="002A1880"/>
    <w:rsid w:val="002A23B7"/>
    <w:rsid w:val="002A3A57"/>
    <w:rsid w:val="002A4B4F"/>
    <w:rsid w:val="002A57A8"/>
    <w:rsid w:val="002A6DEF"/>
    <w:rsid w:val="002A6E42"/>
    <w:rsid w:val="002A770B"/>
    <w:rsid w:val="002B013E"/>
    <w:rsid w:val="002B058D"/>
    <w:rsid w:val="002B0A16"/>
    <w:rsid w:val="002B0C16"/>
    <w:rsid w:val="002B2AC5"/>
    <w:rsid w:val="002B3528"/>
    <w:rsid w:val="002B3539"/>
    <w:rsid w:val="002B4532"/>
    <w:rsid w:val="002B4625"/>
    <w:rsid w:val="002B5042"/>
    <w:rsid w:val="002B69CC"/>
    <w:rsid w:val="002B6D71"/>
    <w:rsid w:val="002C0C1C"/>
    <w:rsid w:val="002C54C2"/>
    <w:rsid w:val="002C5D34"/>
    <w:rsid w:val="002C5D7F"/>
    <w:rsid w:val="002C6009"/>
    <w:rsid w:val="002C60BB"/>
    <w:rsid w:val="002C661A"/>
    <w:rsid w:val="002D0D6F"/>
    <w:rsid w:val="002D25FC"/>
    <w:rsid w:val="002D4AC6"/>
    <w:rsid w:val="002D5BF5"/>
    <w:rsid w:val="002D5E31"/>
    <w:rsid w:val="002D5E95"/>
    <w:rsid w:val="002D5EE8"/>
    <w:rsid w:val="002D7360"/>
    <w:rsid w:val="002D7648"/>
    <w:rsid w:val="002D780A"/>
    <w:rsid w:val="002E109C"/>
    <w:rsid w:val="002E193E"/>
    <w:rsid w:val="002E1A94"/>
    <w:rsid w:val="002E1D55"/>
    <w:rsid w:val="002E26C4"/>
    <w:rsid w:val="002E30A5"/>
    <w:rsid w:val="002E47E4"/>
    <w:rsid w:val="002E4BF9"/>
    <w:rsid w:val="002E4D61"/>
    <w:rsid w:val="002E5FED"/>
    <w:rsid w:val="002E68A7"/>
    <w:rsid w:val="002E6E6C"/>
    <w:rsid w:val="002F0522"/>
    <w:rsid w:val="002F0B85"/>
    <w:rsid w:val="002F16DD"/>
    <w:rsid w:val="002F199D"/>
    <w:rsid w:val="002F1A1E"/>
    <w:rsid w:val="002F213C"/>
    <w:rsid w:val="002F2453"/>
    <w:rsid w:val="002F352D"/>
    <w:rsid w:val="002F381E"/>
    <w:rsid w:val="002F4084"/>
    <w:rsid w:val="002F4A08"/>
    <w:rsid w:val="002F4ADB"/>
    <w:rsid w:val="002F531E"/>
    <w:rsid w:val="002F548D"/>
    <w:rsid w:val="002F5ACC"/>
    <w:rsid w:val="002F704B"/>
    <w:rsid w:val="002F72C3"/>
    <w:rsid w:val="002F768C"/>
    <w:rsid w:val="002F7D1E"/>
    <w:rsid w:val="00300201"/>
    <w:rsid w:val="0030025A"/>
    <w:rsid w:val="00301ADC"/>
    <w:rsid w:val="00302EFC"/>
    <w:rsid w:val="00303243"/>
    <w:rsid w:val="00303BCC"/>
    <w:rsid w:val="00303F2B"/>
    <w:rsid w:val="00303F8D"/>
    <w:rsid w:val="0030572D"/>
    <w:rsid w:val="0030586A"/>
    <w:rsid w:val="003061E3"/>
    <w:rsid w:val="0030622D"/>
    <w:rsid w:val="00306811"/>
    <w:rsid w:val="00306F32"/>
    <w:rsid w:val="003074C5"/>
    <w:rsid w:val="00307A3C"/>
    <w:rsid w:val="00307FA4"/>
    <w:rsid w:val="00310290"/>
    <w:rsid w:val="0031083D"/>
    <w:rsid w:val="00310CC1"/>
    <w:rsid w:val="00311B60"/>
    <w:rsid w:val="00312504"/>
    <w:rsid w:val="00313026"/>
    <w:rsid w:val="00313913"/>
    <w:rsid w:val="0031421F"/>
    <w:rsid w:val="00314B31"/>
    <w:rsid w:val="00315A65"/>
    <w:rsid w:val="003165D7"/>
    <w:rsid w:val="0031683B"/>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C9"/>
    <w:rsid w:val="0033364C"/>
    <w:rsid w:val="00334415"/>
    <w:rsid w:val="00335BCB"/>
    <w:rsid w:val="00335EA1"/>
    <w:rsid w:val="0033691E"/>
    <w:rsid w:val="00336A6A"/>
    <w:rsid w:val="00336CCB"/>
    <w:rsid w:val="003411D1"/>
    <w:rsid w:val="003416BA"/>
    <w:rsid w:val="00342148"/>
    <w:rsid w:val="00342F99"/>
    <w:rsid w:val="0034575A"/>
    <w:rsid w:val="00345F57"/>
    <w:rsid w:val="0034638A"/>
    <w:rsid w:val="00350458"/>
    <w:rsid w:val="00350DB4"/>
    <w:rsid w:val="00350E6C"/>
    <w:rsid w:val="003518A6"/>
    <w:rsid w:val="00351E7F"/>
    <w:rsid w:val="00352953"/>
    <w:rsid w:val="00354062"/>
    <w:rsid w:val="0035459E"/>
    <w:rsid w:val="00355C0D"/>
    <w:rsid w:val="003566A9"/>
    <w:rsid w:val="00356988"/>
    <w:rsid w:val="003569D3"/>
    <w:rsid w:val="00356CE9"/>
    <w:rsid w:val="003570BB"/>
    <w:rsid w:val="00357128"/>
    <w:rsid w:val="0035755E"/>
    <w:rsid w:val="00357A80"/>
    <w:rsid w:val="00361441"/>
    <w:rsid w:val="00361B8B"/>
    <w:rsid w:val="00363F39"/>
    <w:rsid w:val="0036445C"/>
    <w:rsid w:val="00364627"/>
    <w:rsid w:val="00364AB0"/>
    <w:rsid w:val="00364D71"/>
    <w:rsid w:val="003667B0"/>
    <w:rsid w:val="003667DD"/>
    <w:rsid w:val="00366B48"/>
    <w:rsid w:val="00367764"/>
    <w:rsid w:val="003701F7"/>
    <w:rsid w:val="00370316"/>
    <w:rsid w:val="00370DC7"/>
    <w:rsid w:val="00371CBD"/>
    <w:rsid w:val="00371F20"/>
    <w:rsid w:val="003721E3"/>
    <w:rsid w:val="00372B98"/>
    <w:rsid w:val="003737B7"/>
    <w:rsid w:val="003740CC"/>
    <w:rsid w:val="003745F4"/>
    <w:rsid w:val="00374AFA"/>
    <w:rsid w:val="00374E79"/>
    <w:rsid w:val="0037529A"/>
    <w:rsid w:val="00375388"/>
    <w:rsid w:val="00375FB9"/>
    <w:rsid w:val="00376170"/>
    <w:rsid w:val="00376851"/>
    <w:rsid w:val="00376FA2"/>
    <w:rsid w:val="00377A3B"/>
    <w:rsid w:val="00377E3C"/>
    <w:rsid w:val="00380BBE"/>
    <w:rsid w:val="00381D70"/>
    <w:rsid w:val="0038235E"/>
    <w:rsid w:val="003829D0"/>
    <w:rsid w:val="0038326A"/>
    <w:rsid w:val="0038444F"/>
    <w:rsid w:val="003861F0"/>
    <w:rsid w:val="00387051"/>
    <w:rsid w:val="00387ECF"/>
    <w:rsid w:val="0039021B"/>
    <w:rsid w:val="00390429"/>
    <w:rsid w:val="003906A0"/>
    <w:rsid w:val="0039366C"/>
    <w:rsid w:val="00393EC8"/>
    <w:rsid w:val="003950F5"/>
    <w:rsid w:val="0039538F"/>
    <w:rsid w:val="00395E42"/>
    <w:rsid w:val="00396409"/>
    <w:rsid w:val="00396A2D"/>
    <w:rsid w:val="00396FC3"/>
    <w:rsid w:val="003A1A94"/>
    <w:rsid w:val="003A204E"/>
    <w:rsid w:val="003A2D25"/>
    <w:rsid w:val="003A5728"/>
    <w:rsid w:val="003A60E7"/>
    <w:rsid w:val="003A7092"/>
    <w:rsid w:val="003A72A1"/>
    <w:rsid w:val="003A7611"/>
    <w:rsid w:val="003A7D1F"/>
    <w:rsid w:val="003B0B6A"/>
    <w:rsid w:val="003B22F7"/>
    <w:rsid w:val="003B29CF"/>
    <w:rsid w:val="003B3A90"/>
    <w:rsid w:val="003B534F"/>
    <w:rsid w:val="003B538A"/>
    <w:rsid w:val="003B5E4F"/>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5638"/>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6AC8"/>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A36"/>
    <w:rsid w:val="00430B4F"/>
    <w:rsid w:val="00431084"/>
    <w:rsid w:val="004310D7"/>
    <w:rsid w:val="004322D6"/>
    <w:rsid w:val="00432589"/>
    <w:rsid w:val="00432A94"/>
    <w:rsid w:val="00432C95"/>
    <w:rsid w:val="00433827"/>
    <w:rsid w:val="00433A40"/>
    <w:rsid w:val="00434B70"/>
    <w:rsid w:val="004360C8"/>
    <w:rsid w:val="004371D5"/>
    <w:rsid w:val="0044006B"/>
    <w:rsid w:val="0044033F"/>
    <w:rsid w:val="00440630"/>
    <w:rsid w:val="00441F0F"/>
    <w:rsid w:val="00442965"/>
    <w:rsid w:val="00443367"/>
    <w:rsid w:val="00444157"/>
    <w:rsid w:val="0044417C"/>
    <w:rsid w:val="00444DB3"/>
    <w:rsid w:val="00445617"/>
    <w:rsid w:val="00445A2F"/>
    <w:rsid w:val="0044684E"/>
    <w:rsid w:val="00446F22"/>
    <w:rsid w:val="0045019F"/>
    <w:rsid w:val="004503A4"/>
    <w:rsid w:val="00450555"/>
    <w:rsid w:val="004506FA"/>
    <w:rsid w:val="00450DC6"/>
    <w:rsid w:val="00450FDD"/>
    <w:rsid w:val="004516A5"/>
    <w:rsid w:val="00451E9C"/>
    <w:rsid w:val="0045280F"/>
    <w:rsid w:val="004535AE"/>
    <w:rsid w:val="0045444D"/>
    <w:rsid w:val="0045463A"/>
    <w:rsid w:val="00454AC9"/>
    <w:rsid w:val="00455050"/>
    <w:rsid w:val="004554A3"/>
    <w:rsid w:val="0045556F"/>
    <w:rsid w:val="00455A6E"/>
    <w:rsid w:val="00455EAD"/>
    <w:rsid w:val="00456783"/>
    <w:rsid w:val="004578EB"/>
    <w:rsid w:val="004604D5"/>
    <w:rsid w:val="00460697"/>
    <w:rsid w:val="0046117B"/>
    <w:rsid w:val="00464AB7"/>
    <w:rsid w:val="00465DE5"/>
    <w:rsid w:val="00467EF8"/>
    <w:rsid w:val="00472429"/>
    <w:rsid w:val="004725E5"/>
    <w:rsid w:val="00472751"/>
    <w:rsid w:val="00473128"/>
    <w:rsid w:val="00473263"/>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6D31"/>
    <w:rsid w:val="0049797C"/>
    <w:rsid w:val="004A00E1"/>
    <w:rsid w:val="004A0943"/>
    <w:rsid w:val="004A1405"/>
    <w:rsid w:val="004A1FC6"/>
    <w:rsid w:val="004A2E5F"/>
    <w:rsid w:val="004A32EC"/>
    <w:rsid w:val="004A38C2"/>
    <w:rsid w:val="004A3C03"/>
    <w:rsid w:val="004A3DB7"/>
    <w:rsid w:val="004A5088"/>
    <w:rsid w:val="004A5255"/>
    <w:rsid w:val="004A6CB0"/>
    <w:rsid w:val="004A70FF"/>
    <w:rsid w:val="004A7EDE"/>
    <w:rsid w:val="004B0D93"/>
    <w:rsid w:val="004B1FA4"/>
    <w:rsid w:val="004B29AC"/>
    <w:rsid w:val="004B35DF"/>
    <w:rsid w:val="004B3627"/>
    <w:rsid w:val="004B4922"/>
    <w:rsid w:val="004B54AF"/>
    <w:rsid w:val="004B57DF"/>
    <w:rsid w:val="004B5976"/>
    <w:rsid w:val="004B7137"/>
    <w:rsid w:val="004B722E"/>
    <w:rsid w:val="004B72E8"/>
    <w:rsid w:val="004C01A5"/>
    <w:rsid w:val="004C0412"/>
    <w:rsid w:val="004C1142"/>
    <w:rsid w:val="004C2138"/>
    <w:rsid w:val="004C2333"/>
    <w:rsid w:val="004C3940"/>
    <w:rsid w:val="004C51FD"/>
    <w:rsid w:val="004C65A8"/>
    <w:rsid w:val="004C65C8"/>
    <w:rsid w:val="004C6689"/>
    <w:rsid w:val="004D139A"/>
    <w:rsid w:val="004D14DC"/>
    <w:rsid w:val="004D17C6"/>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06D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C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39D"/>
    <w:rsid w:val="005224EE"/>
    <w:rsid w:val="005225F6"/>
    <w:rsid w:val="005227DE"/>
    <w:rsid w:val="00522879"/>
    <w:rsid w:val="00523BB1"/>
    <w:rsid w:val="0052570E"/>
    <w:rsid w:val="005260CD"/>
    <w:rsid w:val="00526265"/>
    <w:rsid w:val="0052655D"/>
    <w:rsid w:val="005265E0"/>
    <w:rsid w:val="00526BC3"/>
    <w:rsid w:val="00531761"/>
    <w:rsid w:val="0053248F"/>
    <w:rsid w:val="0053332A"/>
    <w:rsid w:val="0053358A"/>
    <w:rsid w:val="00534668"/>
    <w:rsid w:val="00534DDD"/>
    <w:rsid w:val="00535291"/>
    <w:rsid w:val="00535A94"/>
    <w:rsid w:val="00537874"/>
    <w:rsid w:val="0053795F"/>
    <w:rsid w:val="00537D3D"/>
    <w:rsid w:val="00540511"/>
    <w:rsid w:val="00540578"/>
    <w:rsid w:val="00540808"/>
    <w:rsid w:val="0054080E"/>
    <w:rsid w:val="00540EA1"/>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149"/>
    <w:rsid w:val="00567B5D"/>
    <w:rsid w:val="005706D5"/>
    <w:rsid w:val="00570757"/>
    <w:rsid w:val="00573733"/>
    <w:rsid w:val="00573F8B"/>
    <w:rsid w:val="00574554"/>
    <w:rsid w:val="00574E06"/>
    <w:rsid w:val="005751BB"/>
    <w:rsid w:val="00576089"/>
    <w:rsid w:val="005764B1"/>
    <w:rsid w:val="00576852"/>
    <w:rsid w:val="00576D06"/>
    <w:rsid w:val="00577287"/>
    <w:rsid w:val="005779E4"/>
    <w:rsid w:val="00577F9F"/>
    <w:rsid w:val="00580093"/>
    <w:rsid w:val="00580EC7"/>
    <w:rsid w:val="00581132"/>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32F"/>
    <w:rsid w:val="005A252B"/>
    <w:rsid w:val="005A2A8F"/>
    <w:rsid w:val="005A3204"/>
    <w:rsid w:val="005A3341"/>
    <w:rsid w:val="005A3C3D"/>
    <w:rsid w:val="005A46EC"/>
    <w:rsid w:val="005A5EAE"/>
    <w:rsid w:val="005A6407"/>
    <w:rsid w:val="005A726C"/>
    <w:rsid w:val="005B07EC"/>
    <w:rsid w:val="005B222F"/>
    <w:rsid w:val="005B2B11"/>
    <w:rsid w:val="005B32A4"/>
    <w:rsid w:val="005B3371"/>
    <w:rsid w:val="005B338D"/>
    <w:rsid w:val="005B36D7"/>
    <w:rsid w:val="005B3BAF"/>
    <w:rsid w:val="005B4DA3"/>
    <w:rsid w:val="005B5362"/>
    <w:rsid w:val="005B5BEE"/>
    <w:rsid w:val="005B77D2"/>
    <w:rsid w:val="005C019B"/>
    <w:rsid w:val="005C08D0"/>
    <w:rsid w:val="005C1AED"/>
    <w:rsid w:val="005C30F5"/>
    <w:rsid w:val="005C51A5"/>
    <w:rsid w:val="005C557A"/>
    <w:rsid w:val="005C566F"/>
    <w:rsid w:val="005C5C47"/>
    <w:rsid w:val="005C61DD"/>
    <w:rsid w:val="005C6438"/>
    <w:rsid w:val="005C6B8B"/>
    <w:rsid w:val="005C727F"/>
    <w:rsid w:val="005D02E3"/>
    <w:rsid w:val="005D1F34"/>
    <w:rsid w:val="005D2C1F"/>
    <w:rsid w:val="005D2DE8"/>
    <w:rsid w:val="005D34B2"/>
    <w:rsid w:val="005D3B54"/>
    <w:rsid w:val="005D40CD"/>
    <w:rsid w:val="005D6B59"/>
    <w:rsid w:val="005D784B"/>
    <w:rsid w:val="005E03E4"/>
    <w:rsid w:val="005E0454"/>
    <w:rsid w:val="005E05F6"/>
    <w:rsid w:val="005E068E"/>
    <w:rsid w:val="005E2442"/>
    <w:rsid w:val="005E3111"/>
    <w:rsid w:val="005E3F85"/>
    <w:rsid w:val="005E4A5F"/>
    <w:rsid w:val="005E57B0"/>
    <w:rsid w:val="005E5B01"/>
    <w:rsid w:val="005E6D3B"/>
    <w:rsid w:val="005F009E"/>
    <w:rsid w:val="005F0DF1"/>
    <w:rsid w:val="005F1516"/>
    <w:rsid w:val="005F229E"/>
    <w:rsid w:val="005F2564"/>
    <w:rsid w:val="005F2D0F"/>
    <w:rsid w:val="005F368B"/>
    <w:rsid w:val="005F3822"/>
    <w:rsid w:val="005F4635"/>
    <w:rsid w:val="005F4900"/>
    <w:rsid w:val="005F4E52"/>
    <w:rsid w:val="005F6D58"/>
    <w:rsid w:val="005F7383"/>
    <w:rsid w:val="0060058E"/>
    <w:rsid w:val="00601F77"/>
    <w:rsid w:val="00602A3C"/>
    <w:rsid w:val="00603E47"/>
    <w:rsid w:val="00603EFD"/>
    <w:rsid w:val="0060475B"/>
    <w:rsid w:val="00604BED"/>
    <w:rsid w:val="00604FB6"/>
    <w:rsid w:val="00605387"/>
    <w:rsid w:val="00606302"/>
    <w:rsid w:val="006076FD"/>
    <w:rsid w:val="0061143F"/>
    <w:rsid w:val="006114D8"/>
    <w:rsid w:val="00613553"/>
    <w:rsid w:val="00613601"/>
    <w:rsid w:val="00613791"/>
    <w:rsid w:val="006150D6"/>
    <w:rsid w:val="00615245"/>
    <w:rsid w:val="0061590D"/>
    <w:rsid w:val="0061641E"/>
    <w:rsid w:val="00617EEE"/>
    <w:rsid w:val="00620A1F"/>
    <w:rsid w:val="006214DE"/>
    <w:rsid w:val="0062169D"/>
    <w:rsid w:val="0062181E"/>
    <w:rsid w:val="0062211B"/>
    <w:rsid w:val="00622BB7"/>
    <w:rsid w:val="00622C1E"/>
    <w:rsid w:val="00623389"/>
    <w:rsid w:val="00623DAA"/>
    <w:rsid w:val="00623FAF"/>
    <w:rsid w:val="006265C4"/>
    <w:rsid w:val="0062678A"/>
    <w:rsid w:val="006270AF"/>
    <w:rsid w:val="00627A44"/>
    <w:rsid w:val="00634367"/>
    <w:rsid w:val="00640082"/>
    <w:rsid w:val="00640291"/>
    <w:rsid w:val="00640EFE"/>
    <w:rsid w:val="00641D6D"/>
    <w:rsid w:val="00641FAC"/>
    <w:rsid w:val="00643664"/>
    <w:rsid w:val="00643CAA"/>
    <w:rsid w:val="00644F16"/>
    <w:rsid w:val="006455EB"/>
    <w:rsid w:val="006456C2"/>
    <w:rsid w:val="00645A65"/>
    <w:rsid w:val="006463B2"/>
    <w:rsid w:val="006477F0"/>
    <w:rsid w:val="006478E4"/>
    <w:rsid w:val="00650091"/>
    <w:rsid w:val="0065171A"/>
    <w:rsid w:val="00652680"/>
    <w:rsid w:val="00653CDE"/>
    <w:rsid w:val="00654585"/>
    <w:rsid w:val="00655AB6"/>
    <w:rsid w:val="00656281"/>
    <w:rsid w:val="0065636A"/>
    <w:rsid w:val="00657003"/>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1C4"/>
    <w:rsid w:val="006713AB"/>
    <w:rsid w:val="00672CA5"/>
    <w:rsid w:val="00673711"/>
    <w:rsid w:val="00673F82"/>
    <w:rsid w:val="00674F74"/>
    <w:rsid w:val="0067508F"/>
    <w:rsid w:val="00677576"/>
    <w:rsid w:val="0068051E"/>
    <w:rsid w:val="00680B9D"/>
    <w:rsid w:val="00681F13"/>
    <w:rsid w:val="0068231C"/>
    <w:rsid w:val="00682344"/>
    <w:rsid w:val="00682F28"/>
    <w:rsid w:val="00683515"/>
    <w:rsid w:val="00684842"/>
    <w:rsid w:val="0068576A"/>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6D5"/>
    <w:rsid w:val="006A1740"/>
    <w:rsid w:val="006A1772"/>
    <w:rsid w:val="006A1780"/>
    <w:rsid w:val="006A17DA"/>
    <w:rsid w:val="006A21DD"/>
    <w:rsid w:val="006A26C6"/>
    <w:rsid w:val="006A3302"/>
    <w:rsid w:val="006A3B28"/>
    <w:rsid w:val="006A4FEE"/>
    <w:rsid w:val="006A703E"/>
    <w:rsid w:val="006A7BE3"/>
    <w:rsid w:val="006A7D32"/>
    <w:rsid w:val="006B01D1"/>
    <w:rsid w:val="006B0DF4"/>
    <w:rsid w:val="006B0E2B"/>
    <w:rsid w:val="006B16EA"/>
    <w:rsid w:val="006B1780"/>
    <w:rsid w:val="006B224E"/>
    <w:rsid w:val="006B376E"/>
    <w:rsid w:val="006B4589"/>
    <w:rsid w:val="006B610E"/>
    <w:rsid w:val="006B643B"/>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389"/>
    <w:rsid w:val="006D5809"/>
    <w:rsid w:val="006D607E"/>
    <w:rsid w:val="006D6781"/>
    <w:rsid w:val="006D6E12"/>
    <w:rsid w:val="006D70CB"/>
    <w:rsid w:val="006D715C"/>
    <w:rsid w:val="006D7363"/>
    <w:rsid w:val="006D774E"/>
    <w:rsid w:val="006D7EA2"/>
    <w:rsid w:val="006E0754"/>
    <w:rsid w:val="006E10BB"/>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787"/>
    <w:rsid w:val="006F5C43"/>
    <w:rsid w:val="006F61D8"/>
    <w:rsid w:val="006F62B7"/>
    <w:rsid w:val="006F70BC"/>
    <w:rsid w:val="006F734B"/>
    <w:rsid w:val="006F7E7C"/>
    <w:rsid w:val="007003D6"/>
    <w:rsid w:val="0070174E"/>
    <w:rsid w:val="007018DB"/>
    <w:rsid w:val="00701DE6"/>
    <w:rsid w:val="00702740"/>
    <w:rsid w:val="0070381B"/>
    <w:rsid w:val="007076DD"/>
    <w:rsid w:val="0070796C"/>
    <w:rsid w:val="007109BB"/>
    <w:rsid w:val="00710EBF"/>
    <w:rsid w:val="007110B8"/>
    <w:rsid w:val="0071209F"/>
    <w:rsid w:val="007125A2"/>
    <w:rsid w:val="00713DD9"/>
    <w:rsid w:val="00713F79"/>
    <w:rsid w:val="007148A8"/>
    <w:rsid w:val="00716AC8"/>
    <w:rsid w:val="00716E54"/>
    <w:rsid w:val="00717421"/>
    <w:rsid w:val="0072033C"/>
    <w:rsid w:val="00720B1B"/>
    <w:rsid w:val="00721062"/>
    <w:rsid w:val="00721E5D"/>
    <w:rsid w:val="007229D4"/>
    <w:rsid w:val="007230F8"/>
    <w:rsid w:val="007233F4"/>
    <w:rsid w:val="00724044"/>
    <w:rsid w:val="007248D3"/>
    <w:rsid w:val="00724DF8"/>
    <w:rsid w:val="00725137"/>
    <w:rsid w:val="00725378"/>
    <w:rsid w:val="00725573"/>
    <w:rsid w:val="00727A43"/>
    <w:rsid w:val="00727FF2"/>
    <w:rsid w:val="00730550"/>
    <w:rsid w:val="00730C2A"/>
    <w:rsid w:val="00731434"/>
    <w:rsid w:val="00731E59"/>
    <w:rsid w:val="007323E0"/>
    <w:rsid w:val="00732911"/>
    <w:rsid w:val="00733721"/>
    <w:rsid w:val="00733DE2"/>
    <w:rsid w:val="007352EA"/>
    <w:rsid w:val="0073625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267F"/>
    <w:rsid w:val="007526EC"/>
    <w:rsid w:val="007527F7"/>
    <w:rsid w:val="00753C48"/>
    <w:rsid w:val="00753ED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60F4"/>
    <w:rsid w:val="00767BFD"/>
    <w:rsid w:val="00767EA0"/>
    <w:rsid w:val="0077068F"/>
    <w:rsid w:val="00771EDF"/>
    <w:rsid w:val="00772A90"/>
    <w:rsid w:val="00772F8D"/>
    <w:rsid w:val="0077408D"/>
    <w:rsid w:val="00774270"/>
    <w:rsid w:val="007743F6"/>
    <w:rsid w:val="00775679"/>
    <w:rsid w:val="0077574F"/>
    <w:rsid w:val="00775823"/>
    <w:rsid w:val="00775EEA"/>
    <w:rsid w:val="007777CC"/>
    <w:rsid w:val="00777B32"/>
    <w:rsid w:val="0078051E"/>
    <w:rsid w:val="00780B59"/>
    <w:rsid w:val="00781089"/>
    <w:rsid w:val="007838F3"/>
    <w:rsid w:val="007856FE"/>
    <w:rsid w:val="00785F46"/>
    <w:rsid w:val="007865F4"/>
    <w:rsid w:val="00786D5C"/>
    <w:rsid w:val="00786E96"/>
    <w:rsid w:val="00787DFF"/>
    <w:rsid w:val="00787F93"/>
    <w:rsid w:val="00791E6D"/>
    <w:rsid w:val="00791EB5"/>
    <w:rsid w:val="00791FF2"/>
    <w:rsid w:val="00793696"/>
    <w:rsid w:val="007955DA"/>
    <w:rsid w:val="00796F65"/>
    <w:rsid w:val="007A11C2"/>
    <w:rsid w:val="007A18BB"/>
    <w:rsid w:val="007A1BC2"/>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5B90"/>
    <w:rsid w:val="007C6218"/>
    <w:rsid w:val="007C6484"/>
    <w:rsid w:val="007C67C6"/>
    <w:rsid w:val="007C78BE"/>
    <w:rsid w:val="007C7E59"/>
    <w:rsid w:val="007D0476"/>
    <w:rsid w:val="007D0B91"/>
    <w:rsid w:val="007D1386"/>
    <w:rsid w:val="007D1452"/>
    <w:rsid w:val="007D3DCB"/>
    <w:rsid w:val="007D460C"/>
    <w:rsid w:val="007D4996"/>
    <w:rsid w:val="007D4AD3"/>
    <w:rsid w:val="007D5D19"/>
    <w:rsid w:val="007D5FDC"/>
    <w:rsid w:val="007D6176"/>
    <w:rsid w:val="007D6D68"/>
    <w:rsid w:val="007E32DA"/>
    <w:rsid w:val="007E4998"/>
    <w:rsid w:val="007E4A9C"/>
    <w:rsid w:val="007E6914"/>
    <w:rsid w:val="007E7884"/>
    <w:rsid w:val="007E7F78"/>
    <w:rsid w:val="007F0179"/>
    <w:rsid w:val="007F2C13"/>
    <w:rsid w:val="007F2CEC"/>
    <w:rsid w:val="007F3435"/>
    <w:rsid w:val="007F4BBE"/>
    <w:rsid w:val="007F55DE"/>
    <w:rsid w:val="007F762D"/>
    <w:rsid w:val="007F78F0"/>
    <w:rsid w:val="007F78FF"/>
    <w:rsid w:val="008001C5"/>
    <w:rsid w:val="00800F6C"/>
    <w:rsid w:val="00801065"/>
    <w:rsid w:val="00802C0B"/>
    <w:rsid w:val="008051FC"/>
    <w:rsid w:val="008055A9"/>
    <w:rsid w:val="008056C4"/>
    <w:rsid w:val="008057FD"/>
    <w:rsid w:val="00805D8B"/>
    <w:rsid w:val="00810A63"/>
    <w:rsid w:val="00810BB6"/>
    <w:rsid w:val="00810E8E"/>
    <w:rsid w:val="008124BC"/>
    <w:rsid w:val="00812C44"/>
    <w:rsid w:val="008135E1"/>
    <w:rsid w:val="00813779"/>
    <w:rsid w:val="00813E26"/>
    <w:rsid w:val="0081481D"/>
    <w:rsid w:val="00814BE8"/>
    <w:rsid w:val="00814F6E"/>
    <w:rsid w:val="00815363"/>
    <w:rsid w:val="00815B84"/>
    <w:rsid w:val="00816BE9"/>
    <w:rsid w:val="0082027C"/>
    <w:rsid w:val="00822518"/>
    <w:rsid w:val="008226F5"/>
    <w:rsid w:val="00823FC6"/>
    <w:rsid w:val="00824306"/>
    <w:rsid w:val="00825B58"/>
    <w:rsid w:val="00825C74"/>
    <w:rsid w:val="00825CFA"/>
    <w:rsid w:val="00826AB9"/>
    <w:rsid w:val="00826E0E"/>
    <w:rsid w:val="00827D11"/>
    <w:rsid w:val="00827E0F"/>
    <w:rsid w:val="00827F6E"/>
    <w:rsid w:val="00831352"/>
    <w:rsid w:val="00831758"/>
    <w:rsid w:val="008317D9"/>
    <w:rsid w:val="0083279F"/>
    <w:rsid w:val="008334DB"/>
    <w:rsid w:val="00833B7F"/>
    <w:rsid w:val="00833E8E"/>
    <w:rsid w:val="00834906"/>
    <w:rsid w:val="00836075"/>
    <w:rsid w:val="00836417"/>
    <w:rsid w:val="00836A3E"/>
    <w:rsid w:val="00837526"/>
    <w:rsid w:val="00837AF8"/>
    <w:rsid w:val="008407A7"/>
    <w:rsid w:val="008424B5"/>
    <w:rsid w:val="0084322B"/>
    <w:rsid w:val="00843F81"/>
    <w:rsid w:val="00844087"/>
    <w:rsid w:val="00844526"/>
    <w:rsid w:val="008448F1"/>
    <w:rsid w:val="0084519E"/>
    <w:rsid w:val="00845CAE"/>
    <w:rsid w:val="00846370"/>
    <w:rsid w:val="008477E7"/>
    <w:rsid w:val="00847C2B"/>
    <w:rsid w:val="00850272"/>
    <w:rsid w:val="008506B9"/>
    <w:rsid w:val="00851822"/>
    <w:rsid w:val="00851DE4"/>
    <w:rsid w:val="008532BF"/>
    <w:rsid w:val="008539B2"/>
    <w:rsid w:val="00853BF4"/>
    <w:rsid w:val="00854294"/>
    <w:rsid w:val="0085572E"/>
    <w:rsid w:val="00856D46"/>
    <w:rsid w:val="0085788B"/>
    <w:rsid w:val="00857A9E"/>
    <w:rsid w:val="00857DE2"/>
    <w:rsid w:val="00863A8E"/>
    <w:rsid w:val="0086407F"/>
    <w:rsid w:val="008645E3"/>
    <w:rsid w:val="00864E79"/>
    <w:rsid w:val="008655D2"/>
    <w:rsid w:val="0086661F"/>
    <w:rsid w:val="00866A0D"/>
    <w:rsid w:val="00866DB5"/>
    <w:rsid w:val="0086701D"/>
    <w:rsid w:val="0086702B"/>
    <w:rsid w:val="008672E2"/>
    <w:rsid w:val="0086784E"/>
    <w:rsid w:val="0087121C"/>
    <w:rsid w:val="00871FD2"/>
    <w:rsid w:val="00872084"/>
    <w:rsid w:val="00872827"/>
    <w:rsid w:val="00872A32"/>
    <w:rsid w:val="00874911"/>
    <w:rsid w:val="008754E4"/>
    <w:rsid w:val="00876EAE"/>
    <w:rsid w:val="00877B8F"/>
    <w:rsid w:val="00880106"/>
    <w:rsid w:val="00880F95"/>
    <w:rsid w:val="00882B44"/>
    <w:rsid w:val="008838AD"/>
    <w:rsid w:val="008864B3"/>
    <w:rsid w:val="008865E5"/>
    <w:rsid w:val="008871B0"/>
    <w:rsid w:val="00890B57"/>
    <w:rsid w:val="008916BA"/>
    <w:rsid w:val="0089217C"/>
    <w:rsid w:val="00892790"/>
    <w:rsid w:val="008931DA"/>
    <w:rsid w:val="00893671"/>
    <w:rsid w:val="008946DC"/>
    <w:rsid w:val="00895838"/>
    <w:rsid w:val="00895A1E"/>
    <w:rsid w:val="00895A72"/>
    <w:rsid w:val="00895CDF"/>
    <w:rsid w:val="00896679"/>
    <w:rsid w:val="00896D8C"/>
    <w:rsid w:val="008A05A7"/>
    <w:rsid w:val="008A0FC9"/>
    <w:rsid w:val="008A1956"/>
    <w:rsid w:val="008A1A7C"/>
    <w:rsid w:val="008A2CE2"/>
    <w:rsid w:val="008A40D3"/>
    <w:rsid w:val="008A469C"/>
    <w:rsid w:val="008A51D1"/>
    <w:rsid w:val="008A5DCE"/>
    <w:rsid w:val="008A75D3"/>
    <w:rsid w:val="008B00D4"/>
    <w:rsid w:val="008B05DD"/>
    <w:rsid w:val="008B07B8"/>
    <w:rsid w:val="008B17E8"/>
    <w:rsid w:val="008B2E7C"/>
    <w:rsid w:val="008B321A"/>
    <w:rsid w:val="008B399A"/>
    <w:rsid w:val="008B45F0"/>
    <w:rsid w:val="008B4A70"/>
    <w:rsid w:val="008B502F"/>
    <w:rsid w:val="008B6DFC"/>
    <w:rsid w:val="008B7227"/>
    <w:rsid w:val="008C02FB"/>
    <w:rsid w:val="008C04E0"/>
    <w:rsid w:val="008C191C"/>
    <w:rsid w:val="008C1DA4"/>
    <w:rsid w:val="008C29B0"/>
    <w:rsid w:val="008C2CD5"/>
    <w:rsid w:val="008C3618"/>
    <w:rsid w:val="008C39E7"/>
    <w:rsid w:val="008C43AD"/>
    <w:rsid w:val="008C6118"/>
    <w:rsid w:val="008C6341"/>
    <w:rsid w:val="008C731F"/>
    <w:rsid w:val="008C74D9"/>
    <w:rsid w:val="008D03C2"/>
    <w:rsid w:val="008D12FB"/>
    <w:rsid w:val="008D3B2D"/>
    <w:rsid w:val="008D58D9"/>
    <w:rsid w:val="008D5AD4"/>
    <w:rsid w:val="008D695E"/>
    <w:rsid w:val="008D6DD5"/>
    <w:rsid w:val="008D6E59"/>
    <w:rsid w:val="008D7155"/>
    <w:rsid w:val="008D76E0"/>
    <w:rsid w:val="008E09F2"/>
    <w:rsid w:val="008E0B29"/>
    <w:rsid w:val="008E141A"/>
    <w:rsid w:val="008E1A44"/>
    <w:rsid w:val="008E1E55"/>
    <w:rsid w:val="008E28E6"/>
    <w:rsid w:val="008E3232"/>
    <w:rsid w:val="008E3674"/>
    <w:rsid w:val="008E3B6C"/>
    <w:rsid w:val="008E3DE7"/>
    <w:rsid w:val="008E562C"/>
    <w:rsid w:val="008E6540"/>
    <w:rsid w:val="008E6D26"/>
    <w:rsid w:val="008E77D4"/>
    <w:rsid w:val="008E7ADD"/>
    <w:rsid w:val="008F091F"/>
    <w:rsid w:val="008F17B2"/>
    <w:rsid w:val="008F22B3"/>
    <w:rsid w:val="008F357B"/>
    <w:rsid w:val="008F44CA"/>
    <w:rsid w:val="008F49D3"/>
    <w:rsid w:val="008F62C1"/>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2F5"/>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4570"/>
    <w:rsid w:val="00926112"/>
    <w:rsid w:val="0092625F"/>
    <w:rsid w:val="00926B28"/>
    <w:rsid w:val="00926D9C"/>
    <w:rsid w:val="00927028"/>
    <w:rsid w:val="00927763"/>
    <w:rsid w:val="00927A2D"/>
    <w:rsid w:val="00927B37"/>
    <w:rsid w:val="00931917"/>
    <w:rsid w:val="009321B1"/>
    <w:rsid w:val="00932ED7"/>
    <w:rsid w:val="009333CF"/>
    <w:rsid w:val="0093422D"/>
    <w:rsid w:val="0093483B"/>
    <w:rsid w:val="00934CF9"/>
    <w:rsid w:val="00934DD7"/>
    <w:rsid w:val="009369A9"/>
    <w:rsid w:val="00936CF7"/>
    <w:rsid w:val="00937783"/>
    <w:rsid w:val="00937EAD"/>
    <w:rsid w:val="00937F28"/>
    <w:rsid w:val="00940FE1"/>
    <w:rsid w:val="00942306"/>
    <w:rsid w:val="00942384"/>
    <w:rsid w:val="009424B8"/>
    <w:rsid w:val="00944668"/>
    <w:rsid w:val="00944DC6"/>
    <w:rsid w:val="009458B0"/>
    <w:rsid w:val="00945B52"/>
    <w:rsid w:val="00945B7A"/>
    <w:rsid w:val="00945F05"/>
    <w:rsid w:val="00946348"/>
    <w:rsid w:val="00947797"/>
    <w:rsid w:val="009478A2"/>
    <w:rsid w:val="00953808"/>
    <w:rsid w:val="009539A6"/>
    <w:rsid w:val="00954032"/>
    <w:rsid w:val="00954537"/>
    <w:rsid w:val="0095472D"/>
    <w:rsid w:val="00955FBB"/>
    <w:rsid w:val="0095694B"/>
    <w:rsid w:val="00956BD5"/>
    <w:rsid w:val="00956D84"/>
    <w:rsid w:val="009577B5"/>
    <w:rsid w:val="00960110"/>
    <w:rsid w:val="009608E6"/>
    <w:rsid w:val="00960F57"/>
    <w:rsid w:val="00961C90"/>
    <w:rsid w:val="00965443"/>
    <w:rsid w:val="00965954"/>
    <w:rsid w:val="00965A21"/>
    <w:rsid w:val="00965E55"/>
    <w:rsid w:val="0096608E"/>
    <w:rsid w:val="00966522"/>
    <w:rsid w:val="00966C33"/>
    <w:rsid w:val="00966FCB"/>
    <w:rsid w:val="00967285"/>
    <w:rsid w:val="00970F18"/>
    <w:rsid w:val="00971CF1"/>
    <w:rsid w:val="00971F5D"/>
    <w:rsid w:val="009721E9"/>
    <w:rsid w:val="00973772"/>
    <w:rsid w:val="0097471B"/>
    <w:rsid w:val="0097560A"/>
    <w:rsid w:val="00975E1E"/>
    <w:rsid w:val="00975E70"/>
    <w:rsid w:val="009761DE"/>
    <w:rsid w:val="009766FA"/>
    <w:rsid w:val="00977CD6"/>
    <w:rsid w:val="0098048B"/>
    <w:rsid w:val="00980DF9"/>
    <w:rsid w:val="00981150"/>
    <w:rsid w:val="0098243D"/>
    <w:rsid w:val="00982D26"/>
    <w:rsid w:val="00983B6E"/>
    <w:rsid w:val="00983FE5"/>
    <w:rsid w:val="009849E9"/>
    <w:rsid w:val="009859E4"/>
    <w:rsid w:val="00987812"/>
    <w:rsid w:val="00990225"/>
    <w:rsid w:val="00992A13"/>
    <w:rsid w:val="00994AAD"/>
    <w:rsid w:val="00994DE1"/>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3D"/>
    <w:rsid w:val="009B18F0"/>
    <w:rsid w:val="009B1F4C"/>
    <w:rsid w:val="009B2471"/>
    <w:rsid w:val="009B314F"/>
    <w:rsid w:val="009B439C"/>
    <w:rsid w:val="009B46B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2AA"/>
    <w:rsid w:val="009D05EC"/>
    <w:rsid w:val="009D18D4"/>
    <w:rsid w:val="009D2F60"/>
    <w:rsid w:val="009D3A2E"/>
    <w:rsid w:val="009D5ADE"/>
    <w:rsid w:val="009D5BAC"/>
    <w:rsid w:val="009D5C56"/>
    <w:rsid w:val="009D6265"/>
    <w:rsid w:val="009D64BD"/>
    <w:rsid w:val="009D6CB1"/>
    <w:rsid w:val="009E0286"/>
    <w:rsid w:val="009E153F"/>
    <w:rsid w:val="009E322A"/>
    <w:rsid w:val="009E393E"/>
    <w:rsid w:val="009E444E"/>
    <w:rsid w:val="009E4968"/>
    <w:rsid w:val="009E663C"/>
    <w:rsid w:val="009E684A"/>
    <w:rsid w:val="009E6BB1"/>
    <w:rsid w:val="009E6E14"/>
    <w:rsid w:val="009E794A"/>
    <w:rsid w:val="009E7C14"/>
    <w:rsid w:val="009F0494"/>
    <w:rsid w:val="009F0CD9"/>
    <w:rsid w:val="009F1A79"/>
    <w:rsid w:val="009F1F57"/>
    <w:rsid w:val="009F259A"/>
    <w:rsid w:val="009F2DDD"/>
    <w:rsid w:val="009F3447"/>
    <w:rsid w:val="009F65F4"/>
    <w:rsid w:val="009F676B"/>
    <w:rsid w:val="009F6D2D"/>
    <w:rsid w:val="009F6D54"/>
    <w:rsid w:val="00A0010C"/>
    <w:rsid w:val="00A004DF"/>
    <w:rsid w:val="00A00FD5"/>
    <w:rsid w:val="00A012C0"/>
    <w:rsid w:val="00A019A8"/>
    <w:rsid w:val="00A01B03"/>
    <w:rsid w:val="00A01B89"/>
    <w:rsid w:val="00A02C66"/>
    <w:rsid w:val="00A02C84"/>
    <w:rsid w:val="00A03DFA"/>
    <w:rsid w:val="00A0464C"/>
    <w:rsid w:val="00A050BB"/>
    <w:rsid w:val="00A054E0"/>
    <w:rsid w:val="00A05D91"/>
    <w:rsid w:val="00A0740B"/>
    <w:rsid w:val="00A07ED3"/>
    <w:rsid w:val="00A10CA8"/>
    <w:rsid w:val="00A11042"/>
    <w:rsid w:val="00A12579"/>
    <w:rsid w:val="00A133D8"/>
    <w:rsid w:val="00A15655"/>
    <w:rsid w:val="00A160B0"/>
    <w:rsid w:val="00A1740C"/>
    <w:rsid w:val="00A20069"/>
    <w:rsid w:val="00A2244D"/>
    <w:rsid w:val="00A2253D"/>
    <w:rsid w:val="00A2267F"/>
    <w:rsid w:val="00A22CDB"/>
    <w:rsid w:val="00A247B8"/>
    <w:rsid w:val="00A2495A"/>
    <w:rsid w:val="00A24C7A"/>
    <w:rsid w:val="00A24D8F"/>
    <w:rsid w:val="00A250DD"/>
    <w:rsid w:val="00A25B8B"/>
    <w:rsid w:val="00A25C5D"/>
    <w:rsid w:val="00A2689F"/>
    <w:rsid w:val="00A26ECA"/>
    <w:rsid w:val="00A26EFD"/>
    <w:rsid w:val="00A27461"/>
    <w:rsid w:val="00A27D67"/>
    <w:rsid w:val="00A30ABC"/>
    <w:rsid w:val="00A33B74"/>
    <w:rsid w:val="00A3467F"/>
    <w:rsid w:val="00A34B4C"/>
    <w:rsid w:val="00A35030"/>
    <w:rsid w:val="00A3551A"/>
    <w:rsid w:val="00A366A0"/>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B74"/>
    <w:rsid w:val="00A47ECC"/>
    <w:rsid w:val="00A50171"/>
    <w:rsid w:val="00A504FA"/>
    <w:rsid w:val="00A5102E"/>
    <w:rsid w:val="00A5132E"/>
    <w:rsid w:val="00A51375"/>
    <w:rsid w:val="00A51533"/>
    <w:rsid w:val="00A531D4"/>
    <w:rsid w:val="00A54572"/>
    <w:rsid w:val="00A575B8"/>
    <w:rsid w:val="00A60155"/>
    <w:rsid w:val="00A61C60"/>
    <w:rsid w:val="00A61ECB"/>
    <w:rsid w:val="00A6410C"/>
    <w:rsid w:val="00A647B1"/>
    <w:rsid w:val="00A64DEF"/>
    <w:rsid w:val="00A654D2"/>
    <w:rsid w:val="00A665DF"/>
    <w:rsid w:val="00A67928"/>
    <w:rsid w:val="00A67FCC"/>
    <w:rsid w:val="00A70AA5"/>
    <w:rsid w:val="00A70C03"/>
    <w:rsid w:val="00A71256"/>
    <w:rsid w:val="00A7217B"/>
    <w:rsid w:val="00A73861"/>
    <w:rsid w:val="00A739A6"/>
    <w:rsid w:val="00A740ED"/>
    <w:rsid w:val="00A74C29"/>
    <w:rsid w:val="00A74C62"/>
    <w:rsid w:val="00A75DF5"/>
    <w:rsid w:val="00A75EF9"/>
    <w:rsid w:val="00A8311C"/>
    <w:rsid w:val="00A835D0"/>
    <w:rsid w:val="00A84C5F"/>
    <w:rsid w:val="00A85930"/>
    <w:rsid w:val="00A863F7"/>
    <w:rsid w:val="00A86604"/>
    <w:rsid w:val="00A87519"/>
    <w:rsid w:val="00A9246D"/>
    <w:rsid w:val="00A92CCA"/>
    <w:rsid w:val="00A93BD0"/>
    <w:rsid w:val="00A93CC2"/>
    <w:rsid w:val="00A974CC"/>
    <w:rsid w:val="00AA1067"/>
    <w:rsid w:val="00AA2001"/>
    <w:rsid w:val="00AA2B5C"/>
    <w:rsid w:val="00AA32D2"/>
    <w:rsid w:val="00AA4016"/>
    <w:rsid w:val="00AA4C1F"/>
    <w:rsid w:val="00AA5328"/>
    <w:rsid w:val="00AA5393"/>
    <w:rsid w:val="00AA63D4"/>
    <w:rsid w:val="00AB03FD"/>
    <w:rsid w:val="00AB2000"/>
    <w:rsid w:val="00AB2E94"/>
    <w:rsid w:val="00AB38CB"/>
    <w:rsid w:val="00AB3BEC"/>
    <w:rsid w:val="00AB44E4"/>
    <w:rsid w:val="00AB4AEB"/>
    <w:rsid w:val="00AB4E5F"/>
    <w:rsid w:val="00AB5256"/>
    <w:rsid w:val="00AB5352"/>
    <w:rsid w:val="00AB56AE"/>
    <w:rsid w:val="00AB62D5"/>
    <w:rsid w:val="00AB65B5"/>
    <w:rsid w:val="00AB6DCD"/>
    <w:rsid w:val="00AB6EE0"/>
    <w:rsid w:val="00AC17A2"/>
    <w:rsid w:val="00AC18CD"/>
    <w:rsid w:val="00AC3581"/>
    <w:rsid w:val="00AC40B7"/>
    <w:rsid w:val="00AC531F"/>
    <w:rsid w:val="00AC5B36"/>
    <w:rsid w:val="00AC6377"/>
    <w:rsid w:val="00AC66A4"/>
    <w:rsid w:val="00AC6CB1"/>
    <w:rsid w:val="00AC7D6D"/>
    <w:rsid w:val="00AD0091"/>
    <w:rsid w:val="00AD23EF"/>
    <w:rsid w:val="00AD2662"/>
    <w:rsid w:val="00AD307B"/>
    <w:rsid w:val="00AD4014"/>
    <w:rsid w:val="00AD41B3"/>
    <w:rsid w:val="00AD42F3"/>
    <w:rsid w:val="00AD5721"/>
    <w:rsid w:val="00AD5C4D"/>
    <w:rsid w:val="00AD69F0"/>
    <w:rsid w:val="00AD7127"/>
    <w:rsid w:val="00AD730C"/>
    <w:rsid w:val="00AD7795"/>
    <w:rsid w:val="00AE123A"/>
    <w:rsid w:val="00AE1539"/>
    <w:rsid w:val="00AE28A7"/>
    <w:rsid w:val="00AE2A98"/>
    <w:rsid w:val="00AE2CF2"/>
    <w:rsid w:val="00AE3012"/>
    <w:rsid w:val="00AE33A6"/>
    <w:rsid w:val="00AE3729"/>
    <w:rsid w:val="00AE4138"/>
    <w:rsid w:val="00AE4CCE"/>
    <w:rsid w:val="00AE5C6A"/>
    <w:rsid w:val="00AE6317"/>
    <w:rsid w:val="00AE6B62"/>
    <w:rsid w:val="00AE7280"/>
    <w:rsid w:val="00AF033A"/>
    <w:rsid w:val="00AF1699"/>
    <w:rsid w:val="00AF1FD3"/>
    <w:rsid w:val="00AF2910"/>
    <w:rsid w:val="00AF34B8"/>
    <w:rsid w:val="00AF3896"/>
    <w:rsid w:val="00AF3FC2"/>
    <w:rsid w:val="00AF48DB"/>
    <w:rsid w:val="00B0098A"/>
    <w:rsid w:val="00B00A5F"/>
    <w:rsid w:val="00B00F89"/>
    <w:rsid w:val="00B029B8"/>
    <w:rsid w:val="00B02F60"/>
    <w:rsid w:val="00B032B8"/>
    <w:rsid w:val="00B04721"/>
    <w:rsid w:val="00B04B15"/>
    <w:rsid w:val="00B04B46"/>
    <w:rsid w:val="00B0534D"/>
    <w:rsid w:val="00B05685"/>
    <w:rsid w:val="00B05F9F"/>
    <w:rsid w:val="00B06368"/>
    <w:rsid w:val="00B068DA"/>
    <w:rsid w:val="00B06A00"/>
    <w:rsid w:val="00B06FC6"/>
    <w:rsid w:val="00B074C9"/>
    <w:rsid w:val="00B07D9D"/>
    <w:rsid w:val="00B11AE5"/>
    <w:rsid w:val="00B12FE6"/>
    <w:rsid w:val="00B1303F"/>
    <w:rsid w:val="00B1364A"/>
    <w:rsid w:val="00B13859"/>
    <w:rsid w:val="00B13EC9"/>
    <w:rsid w:val="00B14319"/>
    <w:rsid w:val="00B14A06"/>
    <w:rsid w:val="00B158E1"/>
    <w:rsid w:val="00B16715"/>
    <w:rsid w:val="00B1768E"/>
    <w:rsid w:val="00B17910"/>
    <w:rsid w:val="00B20F18"/>
    <w:rsid w:val="00B21516"/>
    <w:rsid w:val="00B21A37"/>
    <w:rsid w:val="00B21D23"/>
    <w:rsid w:val="00B21F62"/>
    <w:rsid w:val="00B22CE0"/>
    <w:rsid w:val="00B23738"/>
    <w:rsid w:val="00B23BEF"/>
    <w:rsid w:val="00B247BB"/>
    <w:rsid w:val="00B24F86"/>
    <w:rsid w:val="00B2504A"/>
    <w:rsid w:val="00B25EE6"/>
    <w:rsid w:val="00B3115A"/>
    <w:rsid w:val="00B31825"/>
    <w:rsid w:val="00B31A5C"/>
    <w:rsid w:val="00B33B06"/>
    <w:rsid w:val="00B33C19"/>
    <w:rsid w:val="00B35A15"/>
    <w:rsid w:val="00B35B45"/>
    <w:rsid w:val="00B36A99"/>
    <w:rsid w:val="00B42264"/>
    <w:rsid w:val="00B434B2"/>
    <w:rsid w:val="00B43D45"/>
    <w:rsid w:val="00B451FC"/>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53D7"/>
    <w:rsid w:val="00B662FF"/>
    <w:rsid w:val="00B66679"/>
    <w:rsid w:val="00B70145"/>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45B4"/>
    <w:rsid w:val="00B84662"/>
    <w:rsid w:val="00B84C74"/>
    <w:rsid w:val="00B85191"/>
    <w:rsid w:val="00B858A1"/>
    <w:rsid w:val="00B85FEC"/>
    <w:rsid w:val="00B864A3"/>
    <w:rsid w:val="00B86C2A"/>
    <w:rsid w:val="00B878BE"/>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10"/>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25B8"/>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2F4"/>
    <w:rsid w:val="00BC6E73"/>
    <w:rsid w:val="00BC74D3"/>
    <w:rsid w:val="00BD0014"/>
    <w:rsid w:val="00BD01D8"/>
    <w:rsid w:val="00BD255F"/>
    <w:rsid w:val="00BD2895"/>
    <w:rsid w:val="00BD4236"/>
    <w:rsid w:val="00BD483B"/>
    <w:rsid w:val="00BD5CD4"/>
    <w:rsid w:val="00BD65D9"/>
    <w:rsid w:val="00BD6DF3"/>
    <w:rsid w:val="00BD6E09"/>
    <w:rsid w:val="00BD6EF9"/>
    <w:rsid w:val="00BE0ACB"/>
    <w:rsid w:val="00BE2260"/>
    <w:rsid w:val="00BE3786"/>
    <w:rsid w:val="00BE3917"/>
    <w:rsid w:val="00BE50FD"/>
    <w:rsid w:val="00BE51CA"/>
    <w:rsid w:val="00BE537F"/>
    <w:rsid w:val="00BE5D77"/>
    <w:rsid w:val="00BE6D47"/>
    <w:rsid w:val="00BE7032"/>
    <w:rsid w:val="00BE7330"/>
    <w:rsid w:val="00BF01C5"/>
    <w:rsid w:val="00BF061A"/>
    <w:rsid w:val="00BF066A"/>
    <w:rsid w:val="00BF14CC"/>
    <w:rsid w:val="00BF1821"/>
    <w:rsid w:val="00BF3C42"/>
    <w:rsid w:val="00BF4342"/>
    <w:rsid w:val="00BF4704"/>
    <w:rsid w:val="00BF4FFC"/>
    <w:rsid w:val="00BF5050"/>
    <w:rsid w:val="00BF50D1"/>
    <w:rsid w:val="00BF5422"/>
    <w:rsid w:val="00BF59B1"/>
    <w:rsid w:val="00BF6A78"/>
    <w:rsid w:val="00BF7695"/>
    <w:rsid w:val="00BF79B4"/>
    <w:rsid w:val="00BF7C61"/>
    <w:rsid w:val="00C00037"/>
    <w:rsid w:val="00C01427"/>
    <w:rsid w:val="00C014C7"/>
    <w:rsid w:val="00C047AB"/>
    <w:rsid w:val="00C058AF"/>
    <w:rsid w:val="00C075B6"/>
    <w:rsid w:val="00C124C1"/>
    <w:rsid w:val="00C128AE"/>
    <w:rsid w:val="00C12BA8"/>
    <w:rsid w:val="00C136D6"/>
    <w:rsid w:val="00C13902"/>
    <w:rsid w:val="00C13D5B"/>
    <w:rsid w:val="00C141D7"/>
    <w:rsid w:val="00C16F84"/>
    <w:rsid w:val="00C1711B"/>
    <w:rsid w:val="00C17AE2"/>
    <w:rsid w:val="00C17E00"/>
    <w:rsid w:val="00C20140"/>
    <w:rsid w:val="00C20F27"/>
    <w:rsid w:val="00C215CF"/>
    <w:rsid w:val="00C2244B"/>
    <w:rsid w:val="00C22711"/>
    <w:rsid w:val="00C2280A"/>
    <w:rsid w:val="00C22B0D"/>
    <w:rsid w:val="00C22BFF"/>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A39"/>
    <w:rsid w:val="00C33B57"/>
    <w:rsid w:val="00C34619"/>
    <w:rsid w:val="00C34B60"/>
    <w:rsid w:val="00C35D01"/>
    <w:rsid w:val="00C360B3"/>
    <w:rsid w:val="00C37027"/>
    <w:rsid w:val="00C37B19"/>
    <w:rsid w:val="00C413CB"/>
    <w:rsid w:val="00C42752"/>
    <w:rsid w:val="00C42973"/>
    <w:rsid w:val="00C43E68"/>
    <w:rsid w:val="00C44C69"/>
    <w:rsid w:val="00C4712A"/>
    <w:rsid w:val="00C5034F"/>
    <w:rsid w:val="00C50830"/>
    <w:rsid w:val="00C52479"/>
    <w:rsid w:val="00C5266E"/>
    <w:rsid w:val="00C5280F"/>
    <w:rsid w:val="00C52C59"/>
    <w:rsid w:val="00C5349E"/>
    <w:rsid w:val="00C539FF"/>
    <w:rsid w:val="00C544BD"/>
    <w:rsid w:val="00C54D3D"/>
    <w:rsid w:val="00C55A30"/>
    <w:rsid w:val="00C56384"/>
    <w:rsid w:val="00C60AD0"/>
    <w:rsid w:val="00C60F8C"/>
    <w:rsid w:val="00C61794"/>
    <w:rsid w:val="00C62A48"/>
    <w:rsid w:val="00C62AC4"/>
    <w:rsid w:val="00C62B59"/>
    <w:rsid w:val="00C62F96"/>
    <w:rsid w:val="00C631E1"/>
    <w:rsid w:val="00C638D8"/>
    <w:rsid w:val="00C63AE7"/>
    <w:rsid w:val="00C63D26"/>
    <w:rsid w:val="00C6540A"/>
    <w:rsid w:val="00C6625C"/>
    <w:rsid w:val="00C668A1"/>
    <w:rsid w:val="00C67223"/>
    <w:rsid w:val="00C707B8"/>
    <w:rsid w:val="00C712AC"/>
    <w:rsid w:val="00C71C15"/>
    <w:rsid w:val="00C71F3D"/>
    <w:rsid w:val="00C72F53"/>
    <w:rsid w:val="00C74035"/>
    <w:rsid w:val="00C748EA"/>
    <w:rsid w:val="00C77818"/>
    <w:rsid w:val="00C8063F"/>
    <w:rsid w:val="00C806ED"/>
    <w:rsid w:val="00C81282"/>
    <w:rsid w:val="00C827B4"/>
    <w:rsid w:val="00C83214"/>
    <w:rsid w:val="00C8329F"/>
    <w:rsid w:val="00C8468A"/>
    <w:rsid w:val="00C84F8A"/>
    <w:rsid w:val="00C85BA4"/>
    <w:rsid w:val="00C8618F"/>
    <w:rsid w:val="00C8625D"/>
    <w:rsid w:val="00C90372"/>
    <w:rsid w:val="00C9041F"/>
    <w:rsid w:val="00C90F54"/>
    <w:rsid w:val="00C9166B"/>
    <w:rsid w:val="00C91A45"/>
    <w:rsid w:val="00C91FB4"/>
    <w:rsid w:val="00C92150"/>
    <w:rsid w:val="00C92328"/>
    <w:rsid w:val="00C92D42"/>
    <w:rsid w:val="00C938C2"/>
    <w:rsid w:val="00C93F8A"/>
    <w:rsid w:val="00C94EA1"/>
    <w:rsid w:val="00C9511B"/>
    <w:rsid w:val="00C95745"/>
    <w:rsid w:val="00C95902"/>
    <w:rsid w:val="00C962E3"/>
    <w:rsid w:val="00C9712D"/>
    <w:rsid w:val="00C97246"/>
    <w:rsid w:val="00C978E2"/>
    <w:rsid w:val="00C97997"/>
    <w:rsid w:val="00CA10A2"/>
    <w:rsid w:val="00CA1D83"/>
    <w:rsid w:val="00CA25C0"/>
    <w:rsid w:val="00CA3451"/>
    <w:rsid w:val="00CA35C6"/>
    <w:rsid w:val="00CA4948"/>
    <w:rsid w:val="00CA52F9"/>
    <w:rsid w:val="00CA5368"/>
    <w:rsid w:val="00CA568B"/>
    <w:rsid w:val="00CA573A"/>
    <w:rsid w:val="00CA5C58"/>
    <w:rsid w:val="00CA7D80"/>
    <w:rsid w:val="00CB1775"/>
    <w:rsid w:val="00CB19D7"/>
    <w:rsid w:val="00CB19FE"/>
    <w:rsid w:val="00CB1C3F"/>
    <w:rsid w:val="00CB2364"/>
    <w:rsid w:val="00CB304C"/>
    <w:rsid w:val="00CB3933"/>
    <w:rsid w:val="00CB53E8"/>
    <w:rsid w:val="00CB594A"/>
    <w:rsid w:val="00CB5CB2"/>
    <w:rsid w:val="00CB6979"/>
    <w:rsid w:val="00CB7DDE"/>
    <w:rsid w:val="00CC0A3D"/>
    <w:rsid w:val="00CC1585"/>
    <w:rsid w:val="00CC3C53"/>
    <w:rsid w:val="00CC3D24"/>
    <w:rsid w:val="00CC3F91"/>
    <w:rsid w:val="00CC472A"/>
    <w:rsid w:val="00CC4ACD"/>
    <w:rsid w:val="00CC4AD3"/>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46F1"/>
    <w:rsid w:val="00CD5DAD"/>
    <w:rsid w:val="00CD72C5"/>
    <w:rsid w:val="00CD79A7"/>
    <w:rsid w:val="00CE0789"/>
    <w:rsid w:val="00CE0E8D"/>
    <w:rsid w:val="00CE1A03"/>
    <w:rsid w:val="00CE2346"/>
    <w:rsid w:val="00CE25B2"/>
    <w:rsid w:val="00CE2687"/>
    <w:rsid w:val="00CE27B7"/>
    <w:rsid w:val="00CE3529"/>
    <w:rsid w:val="00CE35C8"/>
    <w:rsid w:val="00CE3962"/>
    <w:rsid w:val="00CE4D1A"/>
    <w:rsid w:val="00CE4E8A"/>
    <w:rsid w:val="00CE5105"/>
    <w:rsid w:val="00CE56BD"/>
    <w:rsid w:val="00CE5EC0"/>
    <w:rsid w:val="00CE6A0B"/>
    <w:rsid w:val="00CE6F9F"/>
    <w:rsid w:val="00CE781A"/>
    <w:rsid w:val="00CE7B08"/>
    <w:rsid w:val="00CE7D52"/>
    <w:rsid w:val="00CF1D74"/>
    <w:rsid w:val="00CF2BE2"/>
    <w:rsid w:val="00CF3DEB"/>
    <w:rsid w:val="00CF55F9"/>
    <w:rsid w:val="00CF7074"/>
    <w:rsid w:val="00CF7390"/>
    <w:rsid w:val="00CF7495"/>
    <w:rsid w:val="00D01CF9"/>
    <w:rsid w:val="00D0334D"/>
    <w:rsid w:val="00D0374D"/>
    <w:rsid w:val="00D06D7B"/>
    <w:rsid w:val="00D06DA5"/>
    <w:rsid w:val="00D07191"/>
    <w:rsid w:val="00D07F1D"/>
    <w:rsid w:val="00D10558"/>
    <w:rsid w:val="00D11D4D"/>
    <w:rsid w:val="00D126DC"/>
    <w:rsid w:val="00D12B03"/>
    <w:rsid w:val="00D13E70"/>
    <w:rsid w:val="00D15FCD"/>
    <w:rsid w:val="00D16C58"/>
    <w:rsid w:val="00D17019"/>
    <w:rsid w:val="00D17FC8"/>
    <w:rsid w:val="00D20B44"/>
    <w:rsid w:val="00D21168"/>
    <w:rsid w:val="00D2438C"/>
    <w:rsid w:val="00D2585A"/>
    <w:rsid w:val="00D259B0"/>
    <w:rsid w:val="00D26C3F"/>
    <w:rsid w:val="00D27026"/>
    <w:rsid w:val="00D2708A"/>
    <w:rsid w:val="00D27185"/>
    <w:rsid w:val="00D30EF8"/>
    <w:rsid w:val="00D32518"/>
    <w:rsid w:val="00D33488"/>
    <w:rsid w:val="00D33AB3"/>
    <w:rsid w:val="00D33F24"/>
    <w:rsid w:val="00D34160"/>
    <w:rsid w:val="00D346B8"/>
    <w:rsid w:val="00D34DCA"/>
    <w:rsid w:val="00D35AC8"/>
    <w:rsid w:val="00D36F87"/>
    <w:rsid w:val="00D37E4E"/>
    <w:rsid w:val="00D400A4"/>
    <w:rsid w:val="00D40DEF"/>
    <w:rsid w:val="00D417D8"/>
    <w:rsid w:val="00D41F78"/>
    <w:rsid w:val="00D42E6C"/>
    <w:rsid w:val="00D4351C"/>
    <w:rsid w:val="00D43B80"/>
    <w:rsid w:val="00D44988"/>
    <w:rsid w:val="00D45B4C"/>
    <w:rsid w:val="00D45BA4"/>
    <w:rsid w:val="00D471AF"/>
    <w:rsid w:val="00D4724F"/>
    <w:rsid w:val="00D50519"/>
    <w:rsid w:val="00D512C8"/>
    <w:rsid w:val="00D51601"/>
    <w:rsid w:val="00D51955"/>
    <w:rsid w:val="00D51ECB"/>
    <w:rsid w:val="00D5264C"/>
    <w:rsid w:val="00D52BBC"/>
    <w:rsid w:val="00D537FE"/>
    <w:rsid w:val="00D53CC9"/>
    <w:rsid w:val="00D54A6A"/>
    <w:rsid w:val="00D54B8F"/>
    <w:rsid w:val="00D55951"/>
    <w:rsid w:val="00D559F0"/>
    <w:rsid w:val="00D57EB6"/>
    <w:rsid w:val="00D608C0"/>
    <w:rsid w:val="00D60D6D"/>
    <w:rsid w:val="00D6128C"/>
    <w:rsid w:val="00D66D8B"/>
    <w:rsid w:val="00D70849"/>
    <w:rsid w:val="00D72297"/>
    <w:rsid w:val="00D72A1C"/>
    <w:rsid w:val="00D7308F"/>
    <w:rsid w:val="00D7313E"/>
    <w:rsid w:val="00D73580"/>
    <w:rsid w:val="00D73802"/>
    <w:rsid w:val="00D73C2C"/>
    <w:rsid w:val="00D73D52"/>
    <w:rsid w:val="00D745E7"/>
    <w:rsid w:val="00D774ED"/>
    <w:rsid w:val="00D777C3"/>
    <w:rsid w:val="00D7797C"/>
    <w:rsid w:val="00D77C44"/>
    <w:rsid w:val="00D77F88"/>
    <w:rsid w:val="00D81AFA"/>
    <w:rsid w:val="00D81EAA"/>
    <w:rsid w:val="00D81FE2"/>
    <w:rsid w:val="00D8259F"/>
    <w:rsid w:val="00D825F2"/>
    <w:rsid w:val="00D8285C"/>
    <w:rsid w:val="00D828B1"/>
    <w:rsid w:val="00D82A55"/>
    <w:rsid w:val="00D83D49"/>
    <w:rsid w:val="00D84181"/>
    <w:rsid w:val="00D846AD"/>
    <w:rsid w:val="00D84754"/>
    <w:rsid w:val="00D84F27"/>
    <w:rsid w:val="00D853F0"/>
    <w:rsid w:val="00D85862"/>
    <w:rsid w:val="00D86D47"/>
    <w:rsid w:val="00D8710C"/>
    <w:rsid w:val="00D873C6"/>
    <w:rsid w:val="00D9074A"/>
    <w:rsid w:val="00D9099E"/>
    <w:rsid w:val="00D9193A"/>
    <w:rsid w:val="00D923B2"/>
    <w:rsid w:val="00D92463"/>
    <w:rsid w:val="00D93E64"/>
    <w:rsid w:val="00D93F64"/>
    <w:rsid w:val="00D94CA4"/>
    <w:rsid w:val="00D95E99"/>
    <w:rsid w:val="00D965D5"/>
    <w:rsid w:val="00D97DA2"/>
    <w:rsid w:val="00DA1A3A"/>
    <w:rsid w:val="00DA2351"/>
    <w:rsid w:val="00DA249E"/>
    <w:rsid w:val="00DA2D3D"/>
    <w:rsid w:val="00DA4C30"/>
    <w:rsid w:val="00DA7722"/>
    <w:rsid w:val="00DB145E"/>
    <w:rsid w:val="00DB1A94"/>
    <w:rsid w:val="00DB1D52"/>
    <w:rsid w:val="00DB1D92"/>
    <w:rsid w:val="00DB1E2B"/>
    <w:rsid w:val="00DB1F62"/>
    <w:rsid w:val="00DB21E7"/>
    <w:rsid w:val="00DB2E03"/>
    <w:rsid w:val="00DB3742"/>
    <w:rsid w:val="00DB3E9B"/>
    <w:rsid w:val="00DB3F4B"/>
    <w:rsid w:val="00DB5375"/>
    <w:rsid w:val="00DB67C1"/>
    <w:rsid w:val="00DB6C0B"/>
    <w:rsid w:val="00DB70F4"/>
    <w:rsid w:val="00DB748A"/>
    <w:rsid w:val="00DB7D94"/>
    <w:rsid w:val="00DC1056"/>
    <w:rsid w:val="00DC1442"/>
    <w:rsid w:val="00DC21D8"/>
    <w:rsid w:val="00DC282A"/>
    <w:rsid w:val="00DC34DC"/>
    <w:rsid w:val="00DC3780"/>
    <w:rsid w:val="00DC3ADA"/>
    <w:rsid w:val="00DC3CC6"/>
    <w:rsid w:val="00DC3F55"/>
    <w:rsid w:val="00DC4782"/>
    <w:rsid w:val="00DC514A"/>
    <w:rsid w:val="00DC67B1"/>
    <w:rsid w:val="00DC7FBC"/>
    <w:rsid w:val="00DD0019"/>
    <w:rsid w:val="00DD132B"/>
    <w:rsid w:val="00DD1725"/>
    <w:rsid w:val="00DD2159"/>
    <w:rsid w:val="00DD218B"/>
    <w:rsid w:val="00DD2A18"/>
    <w:rsid w:val="00DD3044"/>
    <w:rsid w:val="00DD3985"/>
    <w:rsid w:val="00DD61E8"/>
    <w:rsid w:val="00DD62C0"/>
    <w:rsid w:val="00DD635A"/>
    <w:rsid w:val="00DD64DE"/>
    <w:rsid w:val="00DD7859"/>
    <w:rsid w:val="00DD7B41"/>
    <w:rsid w:val="00DE0784"/>
    <w:rsid w:val="00DE0A1D"/>
    <w:rsid w:val="00DE15B2"/>
    <w:rsid w:val="00DE1A9A"/>
    <w:rsid w:val="00DE3D2C"/>
    <w:rsid w:val="00DE5E82"/>
    <w:rsid w:val="00DE5FA6"/>
    <w:rsid w:val="00DE6792"/>
    <w:rsid w:val="00DE6AA1"/>
    <w:rsid w:val="00DE795F"/>
    <w:rsid w:val="00DE7AAB"/>
    <w:rsid w:val="00DE7EF7"/>
    <w:rsid w:val="00DF015B"/>
    <w:rsid w:val="00DF02EC"/>
    <w:rsid w:val="00DF10FC"/>
    <w:rsid w:val="00DF1185"/>
    <w:rsid w:val="00DF1299"/>
    <w:rsid w:val="00DF1A70"/>
    <w:rsid w:val="00DF1E5F"/>
    <w:rsid w:val="00DF1F03"/>
    <w:rsid w:val="00DF23A8"/>
    <w:rsid w:val="00DF2F27"/>
    <w:rsid w:val="00DF36B6"/>
    <w:rsid w:val="00DF4296"/>
    <w:rsid w:val="00DF53F0"/>
    <w:rsid w:val="00DF5F38"/>
    <w:rsid w:val="00DF6608"/>
    <w:rsid w:val="00DF6CCC"/>
    <w:rsid w:val="00DF6D0C"/>
    <w:rsid w:val="00DF6F64"/>
    <w:rsid w:val="00DF721E"/>
    <w:rsid w:val="00DF7B8A"/>
    <w:rsid w:val="00DF7C87"/>
    <w:rsid w:val="00DF7D05"/>
    <w:rsid w:val="00E009B0"/>
    <w:rsid w:val="00E00A12"/>
    <w:rsid w:val="00E00C49"/>
    <w:rsid w:val="00E01C9C"/>
    <w:rsid w:val="00E0219D"/>
    <w:rsid w:val="00E04C0F"/>
    <w:rsid w:val="00E0570B"/>
    <w:rsid w:val="00E10343"/>
    <w:rsid w:val="00E10913"/>
    <w:rsid w:val="00E10B87"/>
    <w:rsid w:val="00E121CE"/>
    <w:rsid w:val="00E1478B"/>
    <w:rsid w:val="00E14FAC"/>
    <w:rsid w:val="00E15007"/>
    <w:rsid w:val="00E16277"/>
    <w:rsid w:val="00E16EC7"/>
    <w:rsid w:val="00E219CE"/>
    <w:rsid w:val="00E23409"/>
    <w:rsid w:val="00E24071"/>
    <w:rsid w:val="00E24EBC"/>
    <w:rsid w:val="00E2522C"/>
    <w:rsid w:val="00E2552F"/>
    <w:rsid w:val="00E2599B"/>
    <w:rsid w:val="00E2710C"/>
    <w:rsid w:val="00E27428"/>
    <w:rsid w:val="00E305B4"/>
    <w:rsid w:val="00E31182"/>
    <w:rsid w:val="00E3197A"/>
    <w:rsid w:val="00E31AFA"/>
    <w:rsid w:val="00E31CB7"/>
    <w:rsid w:val="00E324EE"/>
    <w:rsid w:val="00E32990"/>
    <w:rsid w:val="00E34DB1"/>
    <w:rsid w:val="00E35931"/>
    <w:rsid w:val="00E359FF"/>
    <w:rsid w:val="00E36BD1"/>
    <w:rsid w:val="00E402C5"/>
    <w:rsid w:val="00E402F4"/>
    <w:rsid w:val="00E405F1"/>
    <w:rsid w:val="00E4178B"/>
    <w:rsid w:val="00E417DB"/>
    <w:rsid w:val="00E43054"/>
    <w:rsid w:val="00E43655"/>
    <w:rsid w:val="00E44440"/>
    <w:rsid w:val="00E46013"/>
    <w:rsid w:val="00E47099"/>
    <w:rsid w:val="00E47284"/>
    <w:rsid w:val="00E4730A"/>
    <w:rsid w:val="00E477C3"/>
    <w:rsid w:val="00E47E23"/>
    <w:rsid w:val="00E517A5"/>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BFB"/>
    <w:rsid w:val="00E80F0A"/>
    <w:rsid w:val="00E815D4"/>
    <w:rsid w:val="00E8291B"/>
    <w:rsid w:val="00E82E70"/>
    <w:rsid w:val="00E82F92"/>
    <w:rsid w:val="00E8395F"/>
    <w:rsid w:val="00E8410F"/>
    <w:rsid w:val="00E849D7"/>
    <w:rsid w:val="00E85E41"/>
    <w:rsid w:val="00E85EA1"/>
    <w:rsid w:val="00E86703"/>
    <w:rsid w:val="00E91044"/>
    <w:rsid w:val="00E910D3"/>
    <w:rsid w:val="00E91257"/>
    <w:rsid w:val="00E92154"/>
    <w:rsid w:val="00E923CF"/>
    <w:rsid w:val="00E93685"/>
    <w:rsid w:val="00E93B65"/>
    <w:rsid w:val="00E93C8C"/>
    <w:rsid w:val="00E95111"/>
    <w:rsid w:val="00E95FDF"/>
    <w:rsid w:val="00EA14C8"/>
    <w:rsid w:val="00EA2110"/>
    <w:rsid w:val="00EA283A"/>
    <w:rsid w:val="00EA2C90"/>
    <w:rsid w:val="00EA2E07"/>
    <w:rsid w:val="00EA383B"/>
    <w:rsid w:val="00EA41E6"/>
    <w:rsid w:val="00EA48F3"/>
    <w:rsid w:val="00EA60BF"/>
    <w:rsid w:val="00EA7365"/>
    <w:rsid w:val="00EA763F"/>
    <w:rsid w:val="00EA77E9"/>
    <w:rsid w:val="00EA7875"/>
    <w:rsid w:val="00EB05D0"/>
    <w:rsid w:val="00EB1151"/>
    <w:rsid w:val="00EB1D49"/>
    <w:rsid w:val="00EB23D9"/>
    <w:rsid w:val="00EB39A0"/>
    <w:rsid w:val="00EB559F"/>
    <w:rsid w:val="00EB566C"/>
    <w:rsid w:val="00EB5F3D"/>
    <w:rsid w:val="00EB77E5"/>
    <w:rsid w:val="00EC1CEB"/>
    <w:rsid w:val="00EC1DC0"/>
    <w:rsid w:val="00EC1DC2"/>
    <w:rsid w:val="00EC21EC"/>
    <w:rsid w:val="00EC24B8"/>
    <w:rsid w:val="00EC268C"/>
    <w:rsid w:val="00EC3753"/>
    <w:rsid w:val="00EC4E71"/>
    <w:rsid w:val="00EC5F1C"/>
    <w:rsid w:val="00ED0365"/>
    <w:rsid w:val="00ED0865"/>
    <w:rsid w:val="00ED1C60"/>
    <w:rsid w:val="00ED2057"/>
    <w:rsid w:val="00ED2EB9"/>
    <w:rsid w:val="00ED32D5"/>
    <w:rsid w:val="00ED3722"/>
    <w:rsid w:val="00ED3A31"/>
    <w:rsid w:val="00ED4469"/>
    <w:rsid w:val="00ED5424"/>
    <w:rsid w:val="00ED5F23"/>
    <w:rsid w:val="00ED6DC0"/>
    <w:rsid w:val="00ED7A7A"/>
    <w:rsid w:val="00EE0327"/>
    <w:rsid w:val="00EE038C"/>
    <w:rsid w:val="00EE28C5"/>
    <w:rsid w:val="00EE2F09"/>
    <w:rsid w:val="00EE47C5"/>
    <w:rsid w:val="00EE4885"/>
    <w:rsid w:val="00EE490C"/>
    <w:rsid w:val="00EE4E57"/>
    <w:rsid w:val="00EE5738"/>
    <w:rsid w:val="00EE58BD"/>
    <w:rsid w:val="00EE5E59"/>
    <w:rsid w:val="00EE6549"/>
    <w:rsid w:val="00EE73D0"/>
    <w:rsid w:val="00EE7CB0"/>
    <w:rsid w:val="00EF08A8"/>
    <w:rsid w:val="00EF08FA"/>
    <w:rsid w:val="00EF167B"/>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2C"/>
    <w:rsid w:val="00F069EA"/>
    <w:rsid w:val="00F070E5"/>
    <w:rsid w:val="00F07DDE"/>
    <w:rsid w:val="00F11675"/>
    <w:rsid w:val="00F12557"/>
    <w:rsid w:val="00F1291D"/>
    <w:rsid w:val="00F13599"/>
    <w:rsid w:val="00F13B28"/>
    <w:rsid w:val="00F14E01"/>
    <w:rsid w:val="00F156A0"/>
    <w:rsid w:val="00F15730"/>
    <w:rsid w:val="00F16CE3"/>
    <w:rsid w:val="00F176A6"/>
    <w:rsid w:val="00F202C2"/>
    <w:rsid w:val="00F212F6"/>
    <w:rsid w:val="00F22756"/>
    <w:rsid w:val="00F23248"/>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DA7"/>
    <w:rsid w:val="00F369F8"/>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0058"/>
    <w:rsid w:val="00F5088F"/>
    <w:rsid w:val="00F5118A"/>
    <w:rsid w:val="00F51A21"/>
    <w:rsid w:val="00F52614"/>
    <w:rsid w:val="00F5276E"/>
    <w:rsid w:val="00F52E9F"/>
    <w:rsid w:val="00F53304"/>
    <w:rsid w:val="00F53B81"/>
    <w:rsid w:val="00F540FE"/>
    <w:rsid w:val="00F556FF"/>
    <w:rsid w:val="00F55D12"/>
    <w:rsid w:val="00F5687F"/>
    <w:rsid w:val="00F56D3F"/>
    <w:rsid w:val="00F575C7"/>
    <w:rsid w:val="00F57FD0"/>
    <w:rsid w:val="00F60305"/>
    <w:rsid w:val="00F61B12"/>
    <w:rsid w:val="00F63264"/>
    <w:rsid w:val="00F634E4"/>
    <w:rsid w:val="00F6379E"/>
    <w:rsid w:val="00F64047"/>
    <w:rsid w:val="00F65171"/>
    <w:rsid w:val="00F6560D"/>
    <w:rsid w:val="00F65C23"/>
    <w:rsid w:val="00F67844"/>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587"/>
    <w:rsid w:val="00F8288F"/>
    <w:rsid w:val="00F84033"/>
    <w:rsid w:val="00F84802"/>
    <w:rsid w:val="00F84E4F"/>
    <w:rsid w:val="00F85B72"/>
    <w:rsid w:val="00F86540"/>
    <w:rsid w:val="00F865CE"/>
    <w:rsid w:val="00F8766F"/>
    <w:rsid w:val="00F91082"/>
    <w:rsid w:val="00F9116D"/>
    <w:rsid w:val="00F91A9A"/>
    <w:rsid w:val="00F9203B"/>
    <w:rsid w:val="00F93ABB"/>
    <w:rsid w:val="00F94D79"/>
    <w:rsid w:val="00F963A2"/>
    <w:rsid w:val="00F9658C"/>
    <w:rsid w:val="00F97A7F"/>
    <w:rsid w:val="00FA0889"/>
    <w:rsid w:val="00FA16E7"/>
    <w:rsid w:val="00FA2505"/>
    <w:rsid w:val="00FA31C7"/>
    <w:rsid w:val="00FA3E7F"/>
    <w:rsid w:val="00FA472D"/>
    <w:rsid w:val="00FA6283"/>
    <w:rsid w:val="00FB0CBF"/>
    <w:rsid w:val="00FB18F6"/>
    <w:rsid w:val="00FB2A52"/>
    <w:rsid w:val="00FB3F92"/>
    <w:rsid w:val="00FB4C2B"/>
    <w:rsid w:val="00FB52C7"/>
    <w:rsid w:val="00FB57DC"/>
    <w:rsid w:val="00FB6E19"/>
    <w:rsid w:val="00FB71F6"/>
    <w:rsid w:val="00FC0AF8"/>
    <w:rsid w:val="00FC1483"/>
    <w:rsid w:val="00FC1C47"/>
    <w:rsid w:val="00FC3102"/>
    <w:rsid w:val="00FC3493"/>
    <w:rsid w:val="00FC39ED"/>
    <w:rsid w:val="00FC4419"/>
    <w:rsid w:val="00FC47E2"/>
    <w:rsid w:val="00FC4AA5"/>
    <w:rsid w:val="00FC4B88"/>
    <w:rsid w:val="00FC4BB8"/>
    <w:rsid w:val="00FC5148"/>
    <w:rsid w:val="00FC623A"/>
    <w:rsid w:val="00FC6524"/>
    <w:rsid w:val="00FC708F"/>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7DE"/>
    <w:rsid w:val="00FE770B"/>
    <w:rsid w:val="00FE7A68"/>
    <w:rsid w:val="00FE7D72"/>
    <w:rsid w:val="00FF0231"/>
    <w:rsid w:val="00FF1C9B"/>
    <w:rsid w:val="00FF1D49"/>
    <w:rsid w:val="00FF203B"/>
    <w:rsid w:val="00FF2562"/>
    <w:rsid w:val="00FF3A41"/>
    <w:rsid w:val="00FF3E5B"/>
    <w:rsid w:val="00FF57E4"/>
    <w:rsid w:val="00FF78E5"/>
    <w:rsid w:val="0103398B"/>
    <w:rsid w:val="011E1F3A"/>
    <w:rsid w:val="012D0F5C"/>
    <w:rsid w:val="014C1D05"/>
    <w:rsid w:val="0156352C"/>
    <w:rsid w:val="01563B7D"/>
    <w:rsid w:val="015C7AD5"/>
    <w:rsid w:val="0168437B"/>
    <w:rsid w:val="01907316"/>
    <w:rsid w:val="01A433EB"/>
    <w:rsid w:val="01AF3D99"/>
    <w:rsid w:val="01B6221C"/>
    <w:rsid w:val="01B90B97"/>
    <w:rsid w:val="01C628D4"/>
    <w:rsid w:val="01E3453D"/>
    <w:rsid w:val="01FF3BC3"/>
    <w:rsid w:val="01FF4BEC"/>
    <w:rsid w:val="021741B2"/>
    <w:rsid w:val="02204683"/>
    <w:rsid w:val="022E44A8"/>
    <w:rsid w:val="02511F9D"/>
    <w:rsid w:val="025F06CD"/>
    <w:rsid w:val="026954E1"/>
    <w:rsid w:val="02827C52"/>
    <w:rsid w:val="028C24AD"/>
    <w:rsid w:val="029F225D"/>
    <w:rsid w:val="02A57908"/>
    <w:rsid w:val="02B0089B"/>
    <w:rsid w:val="02C76111"/>
    <w:rsid w:val="02D6235F"/>
    <w:rsid w:val="02D81256"/>
    <w:rsid w:val="030532A9"/>
    <w:rsid w:val="03286A1E"/>
    <w:rsid w:val="032B79A4"/>
    <w:rsid w:val="03305A68"/>
    <w:rsid w:val="033F12EC"/>
    <w:rsid w:val="03407951"/>
    <w:rsid w:val="03535D6B"/>
    <w:rsid w:val="039A08B0"/>
    <w:rsid w:val="03A314B8"/>
    <w:rsid w:val="03C8711A"/>
    <w:rsid w:val="03D25887"/>
    <w:rsid w:val="03D82B98"/>
    <w:rsid w:val="03D964F4"/>
    <w:rsid w:val="03F83E8B"/>
    <w:rsid w:val="047C2586"/>
    <w:rsid w:val="04893C18"/>
    <w:rsid w:val="04902A30"/>
    <w:rsid w:val="049570A7"/>
    <w:rsid w:val="04B74446"/>
    <w:rsid w:val="04BA414C"/>
    <w:rsid w:val="04C505BB"/>
    <w:rsid w:val="04CD2CEE"/>
    <w:rsid w:val="04E87914"/>
    <w:rsid w:val="04FA60EF"/>
    <w:rsid w:val="04FC24D4"/>
    <w:rsid w:val="05023BEB"/>
    <w:rsid w:val="05096B07"/>
    <w:rsid w:val="050E5E84"/>
    <w:rsid w:val="05102192"/>
    <w:rsid w:val="054F7686"/>
    <w:rsid w:val="05557587"/>
    <w:rsid w:val="05681A7F"/>
    <w:rsid w:val="057F4E2B"/>
    <w:rsid w:val="0585008B"/>
    <w:rsid w:val="058F6224"/>
    <w:rsid w:val="05C56868"/>
    <w:rsid w:val="05D74547"/>
    <w:rsid w:val="05E91ADB"/>
    <w:rsid w:val="05EC445F"/>
    <w:rsid w:val="06040198"/>
    <w:rsid w:val="060774EA"/>
    <w:rsid w:val="06083B9D"/>
    <w:rsid w:val="06211C5A"/>
    <w:rsid w:val="06737835"/>
    <w:rsid w:val="068C5A4E"/>
    <w:rsid w:val="06913258"/>
    <w:rsid w:val="06B25549"/>
    <w:rsid w:val="06B96E5F"/>
    <w:rsid w:val="06C91C0B"/>
    <w:rsid w:val="06D86BC4"/>
    <w:rsid w:val="06F43349"/>
    <w:rsid w:val="070C181F"/>
    <w:rsid w:val="072940AD"/>
    <w:rsid w:val="072E4C95"/>
    <w:rsid w:val="07325DEE"/>
    <w:rsid w:val="07633118"/>
    <w:rsid w:val="076D7821"/>
    <w:rsid w:val="07736840"/>
    <w:rsid w:val="078132CC"/>
    <w:rsid w:val="078627A3"/>
    <w:rsid w:val="07966D78"/>
    <w:rsid w:val="07A5201F"/>
    <w:rsid w:val="07A82607"/>
    <w:rsid w:val="07B72767"/>
    <w:rsid w:val="07C23DE6"/>
    <w:rsid w:val="08077E72"/>
    <w:rsid w:val="080E162A"/>
    <w:rsid w:val="08203C28"/>
    <w:rsid w:val="083B22F1"/>
    <w:rsid w:val="083C419B"/>
    <w:rsid w:val="083C4C73"/>
    <w:rsid w:val="084C5E23"/>
    <w:rsid w:val="0886060D"/>
    <w:rsid w:val="08882DD0"/>
    <w:rsid w:val="08A76D63"/>
    <w:rsid w:val="08BE34E2"/>
    <w:rsid w:val="08F76CFB"/>
    <w:rsid w:val="08F821C8"/>
    <w:rsid w:val="09006769"/>
    <w:rsid w:val="091A48F3"/>
    <w:rsid w:val="09783845"/>
    <w:rsid w:val="097E7AC3"/>
    <w:rsid w:val="09860032"/>
    <w:rsid w:val="09921955"/>
    <w:rsid w:val="09AB63DF"/>
    <w:rsid w:val="09CC2AAC"/>
    <w:rsid w:val="09D26E76"/>
    <w:rsid w:val="09DE2A8F"/>
    <w:rsid w:val="0A171D19"/>
    <w:rsid w:val="0A331AD7"/>
    <w:rsid w:val="0A3A3B56"/>
    <w:rsid w:val="0A4412A4"/>
    <w:rsid w:val="0A477589"/>
    <w:rsid w:val="0A5C3ECC"/>
    <w:rsid w:val="0A652D3E"/>
    <w:rsid w:val="0A6A1AA6"/>
    <w:rsid w:val="0A767E3E"/>
    <w:rsid w:val="0A9464E9"/>
    <w:rsid w:val="0A9D4A5C"/>
    <w:rsid w:val="0AAB5F5D"/>
    <w:rsid w:val="0AB6063D"/>
    <w:rsid w:val="0ADA366D"/>
    <w:rsid w:val="0B193B77"/>
    <w:rsid w:val="0B325243"/>
    <w:rsid w:val="0B326F2A"/>
    <w:rsid w:val="0B3D510B"/>
    <w:rsid w:val="0B475F57"/>
    <w:rsid w:val="0B5B05C2"/>
    <w:rsid w:val="0B5E289E"/>
    <w:rsid w:val="0B623221"/>
    <w:rsid w:val="0BA40399"/>
    <w:rsid w:val="0BB40771"/>
    <w:rsid w:val="0BE93715"/>
    <w:rsid w:val="0BEA3C78"/>
    <w:rsid w:val="0C11238F"/>
    <w:rsid w:val="0C1E2888"/>
    <w:rsid w:val="0C2D753D"/>
    <w:rsid w:val="0C2E225D"/>
    <w:rsid w:val="0C4502C0"/>
    <w:rsid w:val="0C530F2E"/>
    <w:rsid w:val="0C5361CC"/>
    <w:rsid w:val="0C6A764E"/>
    <w:rsid w:val="0C6F29D6"/>
    <w:rsid w:val="0C92213C"/>
    <w:rsid w:val="0C9F5D63"/>
    <w:rsid w:val="0CA737D5"/>
    <w:rsid w:val="0CAB5D64"/>
    <w:rsid w:val="0CB33F28"/>
    <w:rsid w:val="0CD304AC"/>
    <w:rsid w:val="0D0114AE"/>
    <w:rsid w:val="0D29001E"/>
    <w:rsid w:val="0D325EDF"/>
    <w:rsid w:val="0D445D4C"/>
    <w:rsid w:val="0D535069"/>
    <w:rsid w:val="0D6D5644"/>
    <w:rsid w:val="0D84032B"/>
    <w:rsid w:val="0D953396"/>
    <w:rsid w:val="0D994191"/>
    <w:rsid w:val="0DA2594C"/>
    <w:rsid w:val="0DBD35C9"/>
    <w:rsid w:val="0DD17D5D"/>
    <w:rsid w:val="0DE53B38"/>
    <w:rsid w:val="0DF4443C"/>
    <w:rsid w:val="0E071437"/>
    <w:rsid w:val="0E1F1149"/>
    <w:rsid w:val="0E2B3D03"/>
    <w:rsid w:val="0E556B89"/>
    <w:rsid w:val="0E5B282E"/>
    <w:rsid w:val="0E5F47DD"/>
    <w:rsid w:val="0E6772B0"/>
    <w:rsid w:val="0E6B66E8"/>
    <w:rsid w:val="0E8F2DCE"/>
    <w:rsid w:val="0E9434CC"/>
    <w:rsid w:val="0EB36C82"/>
    <w:rsid w:val="0ED45624"/>
    <w:rsid w:val="0EE04BDF"/>
    <w:rsid w:val="0EE44AEB"/>
    <w:rsid w:val="0F150F54"/>
    <w:rsid w:val="0F2A74C4"/>
    <w:rsid w:val="0F377C68"/>
    <w:rsid w:val="0F553015"/>
    <w:rsid w:val="0F620A17"/>
    <w:rsid w:val="0F7543D3"/>
    <w:rsid w:val="0F7A6CDB"/>
    <w:rsid w:val="0F7F4595"/>
    <w:rsid w:val="0FE030CE"/>
    <w:rsid w:val="0FEE5277"/>
    <w:rsid w:val="10136B03"/>
    <w:rsid w:val="10202CC1"/>
    <w:rsid w:val="103B47DC"/>
    <w:rsid w:val="10730C95"/>
    <w:rsid w:val="10A27F31"/>
    <w:rsid w:val="10A753AB"/>
    <w:rsid w:val="10AA5CB1"/>
    <w:rsid w:val="10B54EB2"/>
    <w:rsid w:val="10BF682C"/>
    <w:rsid w:val="10CB29C5"/>
    <w:rsid w:val="10CC3A02"/>
    <w:rsid w:val="10CC6281"/>
    <w:rsid w:val="10D20B24"/>
    <w:rsid w:val="10D87300"/>
    <w:rsid w:val="10DA48AD"/>
    <w:rsid w:val="10E33AF2"/>
    <w:rsid w:val="110B438A"/>
    <w:rsid w:val="1167339E"/>
    <w:rsid w:val="11785740"/>
    <w:rsid w:val="118E435A"/>
    <w:rsid w:val="11927058"/>
    <w:rsid w:val="119423C1"/>
    <w:rsid w:val="11A02DC7"/>
    <w:rsid w:val="11AB0C22"/>
    <w:rsid w:val="11B50F78"/>
    <w:rsid w:val="11B5291B"/>
    <w:rsid w:val="11C1301D"/>
    <w:rsid w:val="11EE4343"/>
    <w:rsid w:val="11EF6FB9"/>
    <w:rsid w:val="11F03528"/>
    <w:rsid w:val="11F12DFD"/>
    <w:rsid w:val="12086E43"/>
    <w:rsid w:val="120D4199"/>
    <w:rsid w:val="120F3D85"/>
    <w:rsid w:val="12171B57"/>
    <w:rsid w:val="12573688"/>
    <w:rsid w:val="127F4FEA"/>
    <w:rsid w:val="12AA40AD"/>
    <w:rsid w:val="12BC14E9"/>
    <w:rsid w:val="12D720A5"/>
    <w:rsid w:val="12EF08E6"/>
    <w:rsid w:val="133E327C"/>
    <w:rsid w:val="13467E71"/>
    <w:rsid w:val="134E47DC"/>
    <w:rsid w:val="13542B43"/>
    <w:rsid w:val="138C43DE"/>
    <w:rsid w:val="139C5DE4"/>
    <w:rsid w:val="139D71F2"/>
    <w:rsid w:val="13AC3968"/>
    <w:rsid w:val="13AF4F03"/>
    <w:rsid w:val="13F75519"/>
    <w:rsid w:val="13FD47FE"/>
    <w:rsid w:val="140A4F68"/>
    <w:rsid w:val="140F2E16"/>
    <w:rsid w:val="144401A2"/>
    <w:rsid w:val="14670F31"/>
    <w:rsid w:val="14736E66"/>
    <w:rsid w:val="147F458F"/>
    <w:rsid w:val="148954D3"/>
    <w:rsid w:val="14911257"/>
    <w:rsid w:val="14D43C93"/>
    <w:rsid w:val="14D958EC"/>
    <w:rsid w:val="14FA3E00"/>
    <w:rsid w:val="1531036E"/>
    <w:rsid w:val="1534169A"/>
    <w:rsid w:val="156D25A1"/>
    <w:rsid w:val="15812F88"/>
    <w:rsid w:val="158D0E46"/>
    <w:rsid w:val="158E1BEE"/>
    <w:rsid w:val="15911585"/>
    <w:rsid w:val="159513FB"/>
    <w:rsid w:val="159C0EE7"/>
    <w:rsid w:val="15A27358"/>
    <w:rsid w:val="15A84FF5"/>
    <w:rsid w:val="15B14FA7"/>
    <w:rsid w:val="15C03E03"/>
    <w:rsid w:val="15C3785B"/>
    <w:rsid w:val="15D26520"/>
    <w:rsid w:val="15EE508B"/>
    <w:rsid w:val="160F4148"/>
    <w:rsid w:val="162A25EB"/>
    <w:rsid w:val="16473933"/>
    <w:rsid w:val="168B7C8B"/>
    <w:rsid w:val="169F56FE"/>
    <w:rsid w:val="16A267A7"/>
    <w:rsid w:val="16BD6398"/>
    <w:rsid w:val="16BD6B43"/>
    <w:rsid w:val="16D31DF9"/>
    <w:rsid w:val="16D67838"/>
    <w:rsid w:val="16FD2A55"/>
    <w:rsid w:val="17067C1A"/>
    <w:rsid w:val="172045B4"/>
    <w:rsid w:val="172F08F7"/>
    <w:rsid w:val="17366761"/>
    <w:rsid w:val="17393A34"/>
    <w:rsid w:val="173A76F6"/>
    <w:rsid w:val="175A043F"/>
    <w:rsid w:val="17672074"/>
    <w:rsid w:val="177C01F0"/>
    <w:rsid w:val="177E17B7"/>
    <w:rsid w:val="17A1706E"/>
    <w:rsid w:val="17C50D78"/>
    <w:rsid w:val="17CE6630"/>
    <w:rsid w:val="17D32A08"/>
    <w:rsid w:val="17EB3722"/>
    <w:rsid w:val="17EF65A5"/>
    <w:rsid w:val="17FA1D25"/>
    <w:rsid w:val="180E6351"/>
    <w:rsid w:val="1810355D"/>
    <w:rsid w:val="181235D5"/>
    <w:rsid w:val="18750DB1"/>
    <w:rsid w:val="187B48A5"/>
    <w:rsid w:val="187C2A7B"/>
    <w:rsid w:val="188744BB"/>
    <w:rsid w:val="18A419CD"/>
    <w:rsid w:val="18EE2472"/>
    <w:rsid w:val="19002335"/>
    <w:rsid w:val="19206078"/>
    <w:rsid w:val="19314F92"/>
    <w:rsid w:val="193F68F3"/>
    <w:rsid w:val="19434380"/>
    <w:rsid w:val="19491239"/>
    <w:rsid w:val="19537014"/>
    <w:rsid w:val="19621891"/>
    <w:rsid w:val="197A7D49"/>
    <w:rsid w:val="19915DD8"/>
    <w:rsid w:val="19934424"/>
    <w:rsid w:val="19A5109C"/>
    <w:rsid w:val="19AD5CB2"/>
    <w:rsid w:val="19BD66DD"/>
    <w:rsid w:val="19C607E7"/>
    <w:rsid w:val="19EDD192"/>
    <w:rsid w:val="19F6165F"/>
    <w:rsid w:val="1A0B68A8"/>
    <w:rsid w:val="1A1B0F5C"/>
    <w:rsid w:val="1A232551"/>
    <w:rsid w:val="1A614813"/>
    <w:rsid w:val="1A782658"/>
    <w:rsid w:val="1A7D68F1"/>
    <w:rsid w:val="1A8573D4"/>
    <w:rsid w:val="1A867FDC"/>
    <w:rsid w:val="1A976C37"/>
    <w:rsid w:val="1AB74F63"/>
    <w:rsid w:val="1AC3132A"/>
    <w:rsid w:val="1AE94689"/>
    <w:rsid w:val="1AF65A4C"/>
    <w:rsid w:val="1AFF0AFE"/>
    <w:rsid w:val="1B34103B"/>
    <w:rsid w:val="1B39650C"/>
    <w:rsid w:val="1B4F19F8"/>
    <w:rsid w:val="1B5A1A13"/>
    <w:rsid w:val="1B5C2F75"/>
    <w:rsid w:val="1B6B7470"/>
    <w:rsid w:val="1BAE3D4C"/>
    <w:rsid w:val="1BC81E14"/>
    <w:rsid w:val="1BEE7729"/>
    <w:rsid w:val="1C100CC6"/>
    <w:rsid w:val="1C1A42E7"/>
    <w:rsid w:val="1C1F28DB"/>
    <w:rsid w:val="1C226F03"/>
    <w:rsid w:val="1C3F670D"/>
    <w:rsid w:val="1C55025E"/>
    <w:rsid w:val="1C9A50D4"/>
    <w:rsid w:val="1CA70C88"/>
    <w:rsid w:val="1CA823CD"/>
    <w:rsid w:val="1CB515F6"/>
    <w:rsid w:val="1CDE1F2F"/>
    <w:rsid w:val="1CE61E5F"/>
    <w:rsid w:val="1CF93E51"/>
    <w:rsid w:val="1D1C46B8"/>
    <w:rsid w:val="1D3943AC"/>
    <w:rsid w:val="1D69418F"/>
    <w:rsid w:val="1D7045C8"/>
    <w:rsid w:val="1D7C700E"/>
    <w:rsid w:val="1D805CF0"/>
    <w:rsid w:val="1D8F637F"/>
    <w:rsid w:val="1D996796"/>
    <w:rsid w:val="1DA07F2F"/>
    <w:rsid w:val="1DD106A3"/>
    <w:rsid w:val="1DE75398"/>
    <w:rsid w:val="1E0450B5"/>
    <w:rsid w:val="1E2734BD"/>
    <w:rsid w:val="1E375346"/>
    <w:rsid w:val="1E657FE9"/>
    <w:rsid w:val="1E6B39C7"/>
    <w:rsid w:val="1E72152A"/>
    <w:rsid w:val="1E842C7C"/>
    <w:rsid w:val="1E854FF8"/>
    <w:rsid w:val="1E8C24F9"/>
    <w:rsid w:val="1EA7798B"/>
    <w:rsid w:val="1ECC44FA"/>
    <w:rsid w:val="1ECE7147"/>
    <w:rsid w:val="1EE53F41"/>
    <w:rsid w:val="1F002542"/>
    <w:rsid w:val="1F063325"/>
    <w:rsid w:val="1F066139"/>
    <w:rsid w:val="1F206483"/>
    <w:rsid w:val="1F4D240C"/>
    <w:rsid w:val="1F50678E"/>
    <w:rsid w:val="1F6A3BA7"/>
    <w:rsid w:val="1F80168B"/>
    <w:rsid w:val="1F843156"/>
    <w:rsid w:val="1F885ACE"/>
    <w:rsid w:val="1F91158B"/>
    <w:rsid w:val="1FBC5DF5"/>
    <w:rsid w:val="1FC16863"/>
    <w:rsid w:val="1FEA075F"/>
    <w:rsid w:val="1FEF662C"/>
    <w:rsid w:val="1FF26E0D"/>
    <w:rsid w:val="1FF90588"/>
    <w:rsid w:val="201167D2"/>
    <w:rsid w:val="20134907"/>
    <w:rsid w:val="201474B7"/>
    <w:rsid w:val="20213923"/>
    <w:rsid w:val="20233DBF"/>
    <w:rsid w:val="20245062"/>
    <w:rsid w:val="204D2ACD"/>
    <w:rsid w:val="20914128"/>
    <w:rsid w:val="20BB6724"/>
    <w:rsid w:val="20BF7883"/>
    <w:rsid w:val="20C3623F"/>
    <w:rsid w:val="20D84C09"/>
    <w:rsid w:val="20F070A1"/>
    <w:rsid w:val="20F25B07"/>
    <w:rsid w:val="211041C1"/>
    <w:rsid w:val="212B4272"/>
    <w:rsid w:val="21781212"/>
    <w:rsid w:val="21833156"/>
    <w:rsid w:val="21AB0864"/>
    <w:rsid w:val="21B47737"/>
    <w:rsid w:val="21B83F86"/>
    <w:rsid w:val="21E069CE"/>
    <w:rsid w:val="220B2CE7"/>
    <w:rsid w:val="22106A4D"/>
    <w:rsid w:val="221178A8"/>
    <w:rsid w:val="221213CF"/>
    <w:rsid w:val="22327A92"/>
    <w:rsid w:val="226E5BFE"/>
    <w:rsid w:val="22A16179"/>
    <w:rsid w:val="22A84DFE"/>
    <w:rsid w:val="22BB3EC7"/>
    <w:rsid w:val="22DB129D"/>
    <w:rsid w:val="22F47D51"/>
    <w:rsid w:val="22FA4C94"/>
    <w:rsid w:val="230436F8"/>
    <w:rsid w:val="231D53A2"/>
    <w:rsid w:val="23435214"/>
    <w:rsid w:val="234401DF"/>
    <w:rsid w:val="235477BA"/>
    <w:rsid w:val="236D5383"/>
    <w:rsid w:val="23811F5D"/>
    <w:rsid w:val="23A41B75"/>
    <w:rsid w:val="23AB1FDF"/>
    <w:rsid w:val="23B134E6"/>
    <w:rsid w:val="23B74A16"/>
    <w:rsid w:val="23B7504C"/>
    <w:rsid w:val="23BA654A"/>
    <w:rsid w:val="23BC326A"/>
    <w:rsid w:val="23C509CD"/>
    <w:rsid w:val="240D25B5"/>
    <w:rsid w:val="241E5A1E"/>
    <w:rsid w:val="24205BC8"/>
    <w:rsid w:val="242C0CB6"/>
    <w:rsid w:val="24354590"/>
    <w:rsid w:val="24571307"/>
    <w:rsid w:val="245F009A"/>
    <w:rsid w:val="247C7D19"/>
    <w:rsid w:val="24B34021"/>
    <w:rsid w:val="24BE0ABD"/>
    <w:rsid w:val="24C06D8A"/>
    <w:rsid w:val="24CB4B0D"/>
    <w:rsid w:val="24E91BBE"/>
    <w:rsid w:val="25110A2A"/>
    <w:rsid w:val="251513DA"/>
    <w:rsid w:val="251569DF"/>
    <w:rsid w:val="252F3220"/>
    <w:rsid w:val="25473008"/>
    <w:rsid w:val="25647DF0"/>
    <w:rsid w:val="256C0944"/>
    <w:rsid w:val="25773D5F"/>
    <w:rsid w:val="257E73F2"/>
    <w:rsid w:val="25A979D1"/>
    <w:rsid w:val="25B05051"/>
    <w:rsid w:val="25BE7679"/>
    <w:rsid w:val="25C00F8A"/>
    <w:rsid w:val="25D53DA4"/>
    <w:rsid w:val="25E410EC"/>
    <w:rsid w:val="25EC2CF7"/>
    <w:rsid w:val="261F4447"/>
    <w:rsid w:val="263050F1"/>
    <w:rsid w:val="26381F9B"/>
    <w:rsid w:val="26446DE3"/>
    <w:rsid w:val="267B0CDC"/>
    <w:rsid w:val="269669E7"/>
    <w:rsid w:val="26A744DB"/>
    <w:rsid w:val="26CF7759"/>
    <w:rsid w:val="26D4005A"/>
    <w:rsid w:val="26D7699F"/>
    <w:rsid w:val="26DA3B4A"/>
    <w:rsid w:val="26E26183"/>
    <w:rsid w:val="26E36ACC"/>
    <w:rsid w:val="26F73A2A"/>
    <w:rsid w:val="26FF2BB8"/>
    <w:rsid w:val="270417B7"/>
    <w:rsid w:val="27102C21"/>
    <w:rsid w:val="271B034D"/>
    <w:rsid w:val="27227C57"/>
    <w:rsid w:val="27233601"/>
    <w:rsid w:val="2750171F"/>
    <w:rsid w:val="275122E4"/>
    <w:rsid w:val="2769156F"/>
    <w:rsid w:val="27793F5D"/>
    <w:rsid w:val="27A2622E"/>
    <w:rsid w:val="27A60F83"/>
    <w:rsid w:val="27B8643F"/>
    <w:rsid w:val="27C12412"/>
    <w:rsid w:val="27D24FCB"/>
    <w:rsid w:val="27F92009"/>
    <w:rsid w:val="28124EAE"/>
    <w:rsid w:val="28785F5E"/>
    <w:rsid w:val="2895115B"/>
    <w:rsid w:val="28BA46FA"/>
    <w:rsid w:val="28BE38E2"/>
    <w:rsid w:val="28F14595"/>
    <w:rsid w:val="28F416F8"/>
    <w:rsid w:val="29063629"/>
    <w:rsid w:val="291137B2"/>
    <w:rsid w:val="2913753A"/>
    <w:rsid w:val="293D6B2E"/>
    <w:rsid w:val="294361DC"/>
    <w:rsid w:val="29462E61"/>
    <w:rsid w:val="295E2317"/>
    <w:rsid w:val="296B020D"/>
    <w:rsid w:val="297D3FFE"/>
    <w:rsid w:val="29802F8C"/>
    <w:rsid w:val="29AD0C8B"/>
    <w:rsid w:val="29BB39AC"/>
    <w:rsid w:val="29C5574F"/>
    <w:rsid w:val="29C67FA0"/>
    <w:rsid w:val="29CE1F49"/>
    <w:rsid w:val="29D00278"/>
    <w:rsid w:val="29D62A4E"/>
    <w:rsid w:val="29DC3BA0"/>
    <w:rsid w:val="29E509C9"/>
    <w:rsid w:val="29EF6C45"/>
    <w:rsid w:val="2A007C29"/>
    <w:rsid w:val="2A1769A3"/>
    <w:rsid w:val="2A4D3396"/>
    <w:rsid w:val="2A541720"/>
    <w:rsid w:val="2A83619E"/>
    <w:rsid w:val="2AC53F93"/>
    <w:rsid w:val="2ACF406E"/>
    <w:rsid w:val="2AD830F7"/>
    <w:rsid w:val="2AE241C5"/>
    <w:rsid w:val="2B253E47"/>
    <w:rsid w:val="2B6A0459"/>
    <w:rsid w:val="2B774624"/>
    <w:rsid w:val="2B8A5BDD"/>
    <w:rsid w:val="2B8C3FB1"/>
    <w:rsid w:val="2B9D1BD3"/>
    <w:rsid w:val="2BC83AB9"/>
    <w:rsid w:val="2BEA293F"/>
    <w:rsid w:val="2BF5056F"/>
    <w:rsid w:val="2C1B56AB"/>
    <w:rsid w:val="2C4402A1"/>
    <w:rsid w:val="2C534988"/>
    <w:rsid w:val="2C796B75"/>
    <w:rsid w:val="2C7A72BE"/>
    <w:rsid w:val="2C890BCA"/>
    <w:rsid w:val="2C8A7A52"/>
    <w:rsid w:val="2C9A7D75"/>
    <w:rsid w:val="2CB734DA"/>
    <w:rsid w:val="2CBC587B"/>
    <w:rsid w:val="2CBF4377"/>
    <w:rsid w:val="2CC17412"/>
    <w:rsid w:val="2CCB04B9"/>
    <w:rsid w:val="2CD40732"/>
    <w:rsid w:val="2CEA1907"/>
    <w:rsid w:val="2CF26A4B"/>
    <w:rsid w:val="2CF350E3"/>
    <w:rsid w:val="2CF717B7"/>
    <w:rsid w:val="2CFE48F4"/>
    <w:rsid w:val="2CFF7BB9"/>
    <w:rsid w:val="2D04594C"/>
    <w:rsid w:val="2D0C5851"/>
    <w:rsid w:val="2D1C1975"/>
    <w:rsid w:val="2D1F543F"/>
    <w:rsid w:val="2D3E4B0D"/>
    <w:rsid w:val="2D446A9B"/>
    <w:rsid w:val="2D863EDD"/>
    <w:rsid w:val="2DA120C4"/>
    <w:rsid w:val="2DAC6336"/>
    <w:rsid w:val="2DC65BA0"/>
    <w:rsid w:val="2DD218DC"/>
    <w:rsid w:val="2DD85E2E"/>
    <w:rsid w:val="2E41718B"/>
    <w:rsid w:val="2E554EA6"/>
    <w:rsid w:val="2E5F03A4"/>
    <w:rsid w:val="2E627104"/>
    <w:rsid w:val="2E693FEF"/>
    <w:rsid w:val="2E6A1892"/>
    <w:rsid w:val="2E717F8B"/>
    <w:rsid w:val="2E88190D"/>
    <w:rsid w:val="2E8E1E30"/>
    <w:rsid w:val="2E9976CE"/>
    <w:rsid w:val="2EDE539C"/>
    <w:rsid w:val="2F134027"/>
    <w:rsid w:val="2F330F99"/>
    <w:rsid w:val="2F401D3C"/>
    <w:rsid w:val="2F562EC0"/>
    <w:rsid w:val="2F572D25"/>
    <w:rsid w:val="2F5B24E1"/>
    <w:rsid w:val="2F704EEA"/>
    <w:rsid w:val="2F7E1D1C"/>
    <w:rsid w:val="2F7F4483"/>
    <w:rsid w:val="2F8026D7"/>
    <w:rsid w:val="2F8F65C7"/>
    <w:rsid w:val="2FA95C88"/>
    <w:rsid w:val="2FC97926"/>
    <w:rsid w:val="2FD471C0"/>
    <w:rsid w:val="2FF9770A"/>
    <w:rsid w:val="300833DF"/>
    <w:rsid w:val="3019031A"/>
    <w:rsid w:val="301C38BE"/>
    <w:rsid w:val="30242658"/>
    <w:rsid w:val="302F4907"/>
    <w:rsid w:val="303B3107"/>
    <w:rsid w:val="3041370F"/>
    <w:rsid w:val="30506D05"/>
    <w:rsid w:val="306D5836"/>
    <w:rsid w:val="3097349C"/>
    <w:rsid w:val="30A03F6A"/>
    <w:rsid w:val="30AD7887"/>
    <w:rsid w:val="30BF083E"/>
    <w:rsid w:val="30D32298"/>
    <w:rsid w:val="30EC5E2A"/>
    <w:rsid w:val="30ED1946"/>
    <w:rsid w:val="311B0A1E"/>
    <w:rsid w:val="31216B3F"/>
    <w:rsid w:val="31295B5B"/>
    <w:rsid w:val="312B50A3"/>
    <w:rsid w:val="317172BB"/>
    <w:rsid w:val="318B24CE"/>
    <w:rsid w:val="318E6873"/>
    <w:rsid w:val="31B46ACE"/>
    <w:rsid w:val="31C559E0"/>
    <w:rsid w:val="31F51115"/>
    <w:rsid w:val="32003808"/>
    <w:rsid w:val="32172470"/>
    <w:rsid w:val="321A6930"/>
    <w:rsid w:val="323B2146"/>
    <w:rsid w:val="32432DA9"/>
    <w:rsid w:val="32453A27"/>
    <w:rsid w:val="3263064A"/>
    <w:rsid w:val="3265766A"/>
    <w:rsid w:val="327D2533"/>
    <w:rsid w:val="329842A9"/>
    <w:rsid w:val="329B7A68"/>
    <w:rsid w:val="32A43132"/>
    <w:rsid w:val="32AB00DA"/>
    <w:rsid w:val="32AC0C06"/>
    <w:rsid w:val="32AD0CCA"/>
    <w:rsid w:val="32C33CD3"/>
    <w:rsid w:val="32E04E37"/>
    <w:rsid w:val="32E15130"/>
    <w:rsid w:val="32FC18D5"/>
    <w:rsid w:val="33027836"/>
    <w:rsid w:val="3331060D"/>
    <w:rsid w:val="33344EF5"/>
    <w:rsid w:val="33496CCF"/>
    <w:rsid w:val="3378161D"/>
    <w:rsid w:val="339C3B02"/>
    <w:rsid w:val="33A05880"/>
    <w:rsid w:val="33A35F1E"/>
    <w:rsid w:val="33B22505"/>
    <w:rsid w:val="33C51EB6"/>
    <w:rsid w:val="33D36651"/>
    <w:rsid w:val="33E85CE2"/>
    <w:rsid w:val="33EC2DA4"/>
    <w:rsid w:val="341D0201"/>
    <w:rsid w:val="34246B9F"/>
    <w:rsid w:val="342A2472"/>
    <w:rsid w:val="342B0F4F"/>
    <w:rsid w:val="344D3742"/>
    <w:rsid w:val="347B2D6D"/>
    <w:rsid w:val="34AB2475"/>
    <w:rsid w:val="34B52163"/>
    <w:rsid w:val="34D72013"/>
    <w:rsid w:val="34DA5C46"/>
    <w:rsid w:val="34EB7D5F"/>
    <w:rsid w:val="34EE1C44"/>
    <w:rsid w:val="35293FD9"/>
    <w:rsid w:val="352C24DC"/>
    <w:rsid w:val="3537750C"/>
    <w:rsid w:val="3537798C"/>
    <w:rsid w:val="356E45E1"/>
    <w:rsid w:val="357005A7"/>
    <w:rsid w:val="357A579A"/>
    <w:rsid w:val="358E312C"/>
    <w:rsid w:val="35B30245"/>
    <w:rsid w:val="35C13FC9"/>
    <w:rsid w:val="35E07056"/>
    <w:rsid w:val="35E91989"/>
    <w:rsid w:val="35EF4FE4"/>
    <w:rsid w:val="35F2040C"/>
    <w:rsid w:val="35F9471D"/>
    <w:rsid w:val="36085EA6"/>
    <w:rsid w:val="36101C06"/>
    <w:rsid w:val="36266D8A"/>
    <w:rsid w:val="36343134"/>
    <w:rsid w:val="364257B6"/>
    <w:rsid w:val="36636B8E"/>
    <w:rsid w:val="36741335"/>
    <w:rsid w:val="369E4AB8"/>
    <w:rsid w:val="36AC6498"/>
    <w:rsid w:val="3705788F"/>
    <w:rsid w:val="371511B8"/>
    <w:rsid w:val="3724059E"/>
    <w:rsid w:val="3729538A"/>
    <w:rsid w:val="374E4FB2"/>
    <w:rsid w:val="376462CF"/>
    <w:rsid w:val="37725F65"/>
    <w:rsid w:val="37734E19"/>
    <w:rsid w:val="377868E8"/>
    <w:rsid w:val="379C5435"/>
    <w:rsid w:val="37DE378C"/>
    <w:rsid w:val="37EA5922"/>
    <w:rsid w:val="37F8621D"/>
    <w:rsid w:val="380C2E7F"/>
    <w:rsid w:val="38134D6C"/>
    <w:rsid w:val="381C20D2"/>
    <w:rsid w:val="38205CA3"/>
    <w:rsid w:val="38276B93"/>
    <w:rsid w:val="38336FC4"/>
    <w:rsid w:val="384D3BF2"/>
    <w:rsid w:val="386A2AA2"/>
    <w:rsid w:val="389430F0"/>
    <w:rsid w:val="38A5656B"/>
    <w:rsid w:val="38AC3431"/>
    <w:rsid w:val="38B9690B"/>
    <w:rsid w:val="38C26745"/>
    <w:rsid w:val="38CD0AA7"/>
    <w:rsid w:val="38E67108"/>
    <w:rsid w:val="38F06097"/>
    <w:rsid w:val="38FE35D2"/>
    <w:rsid w:val="38FE7A29"/>
    <w:rsid w:val="39226DE8"/>
    <w:rsid w:val="392F2E16"/>
    <w:rsid w:val="39406F09"/>
    <w:rsid w:val="396554F4"/>
    <w:rsid w:val="39791C92"/>
    <w:rsid w:val="398147FC"/>
    <w:rsid w:val="39854459"/>
    <w:rsid w:val="39A85265"/>
    <w:rsid w:val="39B614C9"/>
    <w:rsid w:val="39BE755C"/>
    <w:rsid w:val="39D678CC"/>
    <w:rsid w:val="39D94185"/>
    <w:rsid w:val="39E00529"/>
    <w:rsid w:val="39E359C2"/>
    <w:rsid w:val="39E9733C"/>
    <w:rsid w:val="3A0B6254"/>
    <w:rsid w:val="3A0B64A7"/>
    <w:rsid w:val="3A1C7B1C"/>
    <w:rsid w:val="3A271BC8"/>
    <w:rsid w:val="3A2F182B"/>
    <w:rsid w:val="3A322081"/>
    <w:rsid w:val="3A36312B"/>
    <w:rsid w:val="3A3B5CDC"/>
    <w:rsid w:val="3A520B7E"/>
    <w:rsid w:val="3A574DDA"/>
    <w:rsid w:val="3A7C0B25"/>
    <w:rsid w:val="3A952A43"/>
    <w:rsid w:val="3AA73CF1"/>
    <w:rsid w:val="3AAA5A75"/>
    <w:rsid w:val="3AD3075A"/>
    <w:rsid w:val="3AD5142D"/>
    <w:rsid w:val="3AD71232"/>
    <w:rsid w:val="3AF74C02"/>
    <w:rsid w:val="3B0754C5"/>
    <w:rsid w:val="3B761717"/>
    <w:rsid w:val="3B831369"/>
    <w:rsid w:val="3B8B5350"/>
    <w:rsid w:val="3B954BE0"/>
    <w:rsid w:val="3B9925D6"/>
    <w:rsid w:val="3B9F1620"/>
    <w:rsid w:val="3BB84161"/>
    <w:rsid w:val="3BD53F3C"/>
    <w:rsid w:val="3C0059A5"/>
    <w:rsid w:val="3C07120D"/>
    <w:rsid w:val="3C134E78"/>
    <w:rsid w:val="3C15518D"/>
    <w:rsid w:val="3C2528F1"/>
    <w:rsid w:val="3C2A0F17"/>
    <w:rsid w:val="3C33057E"/>
    <w:rsid w:val="3C334EAF"/>
    <w:rsid w:val="3C3D49BD"/>
    <w:rsid w:val="3C6D16C6"/>
    <w:rsid w:val="3C921FB2"/>
    <w:rsid w:val="3C9333AF"/>
    <w:rsid w:val="3C9E1EBC"/>
    <w:rsid w:val="3CD21D29"/>
    <w:rsid w:val="3CF52957"/>
    <w:rsid w:val="3D147205"/>
    <w:rsid w:val="3D187F39"/>
    <w:rsid w:val="3D2E6923"/>
    <w:rsid w:val="3D33169F"/>
    <w:rsid w:val="3D506996"/>
    <w:rsid w:val="3D614B55"/>
    <w:rsid w:val="3D67163F"/>
    <w:rsid w:val="3D6871A7"/>
    <w:rsid w:val="3D817764"/>
    <w:rsid w:val="3D873FCE"/>
    <w:rsid w:val="3DB17E6C"/>
    <w:rsid w:val="3DCE1FF5"/>
    <w:rsid w:val="3DE61DFF"/>
    <w:rsid w:val="3DEC7285"/>
    <w:rsid w:val="3DF6345D"/>
    <w:rsid w:val="3E2B5515"/>
    <w:rsid w:val="3E3E5EF1"/>
    <w:rsid w:val="3E4D4F28"/>
    <w:rsid w:val="3E5325C6"/>
    <w:rsid w:val="3E5840E2"/>
    <w:rsid w:val="3E706639"/>
    <w:rsid w:val="3E7F32DC"/>
    <w:rsid w:val="3EB11AC7"/>
    <w:rsid w:val="3EBF3622"/>
    <w:rsid w:val="3EBF7C5B"/>
    <w:rsid w:val="3EC9706E"/>
    <w:rsid w:val="3ED818CD"/>
    <w:rsid w:val="3EE13701"/>
    <w:rsid w:val="3EE25742"/>
    <w:rsid w:val="3F0C10F2"/>
    <w:rsid w:val="3F0C5D2F"/>
    <w:rsid w:val="3F144FB4"/>
    <w:rsid w:val="3F1A4BB3"/>
    <w:rsid w:val="3F1B30E3"/>
    <w:rsid w:val="3F372168"/>
    <w:rsid w:val="3F4A64D9"/>
    <w:rsid w:val="3F571CFE"/>
    <w:rsid w:val="3F60225A"/>
    <w:rsid w:val="3F6525B0"/>
    <w:rsid w:val="3F79605C"/>
    <w:rsid w:val="3F934E86"/>
    <w:rsid w:val="3FD921B4"/>
    <w:rsid w:val="3FF317AE"/>
    <w:rsid w:val="3FFA2455"/>
    <w:rsid w:val="40010575"/>
    <w:rsid w:val="400E712D"/>
    <w:rsid w:val="40192BA6"/>
    <w:rsid w:val="401D2E8B"/>
    <w:rsid w:val="402C58F5"/>
    <w:rsid w:val="40484D68"/>
    <w:rsid w:val="40761BDC"/>
    <w:rsid w:val="408D092B"/>
    <w:rsid w:val="40963BF6"/>
    <w:rsid w:val="40991CAB"/>
    <w:rsid w:val="40B15F11"/>
    <w:rsid w:val="40BE68D5"/>
    <w:rsid w:val="40D43427"/>
    <w:rsid w:val="40E1210B"/>
    <w:rsid w:val="40FA2BFE"/>
    <w:rsid w:val="41071387"/>
    <w:rsid w:val="41126768"/>
    <w:rsid w:val="41184017"/>
    <w:rsid w:val="411D2299"/>
    <w:rsid w:val="413D6CFA"/>
    <w:rsid w:val="4144773B"/>
    <w:rsid w:val="414E40BA"/>
    <w:rsid w:val="4151394D"/>
    <w:rsid w:val="415560AD"/>
    <w:rsid w:val="41766EA9"/>
    <w:rsid w:val="41906B0F"/>
    <w:rsid w:val="4192330C"/>
    <w:rsid w:val="41F6509D"/>
    <w:rsid w:val="42145CCA"/>
    <w:rsid w:val="42241EB7"/>
    <w:rsid w:val="423035D9"/>
    <w:rsid w:val="42550A18"/>
    <w:rsid w:val="425A4BD1"/>
    <w:rsid w:val="427B1BBB"/>
    <w:rsid w:val="429C7597"/>
    <w:rsid w:val="429D496A"/>
    <w:rsid w:val="42B81FA5"/>
    <w:rsid w:val="42C13FA2"/>
    <w:rsid w:val="42CC751E"/>
    <w:rsid w:val="42E0276A"/>
    <w:rsid w:val="42E44134"/>
    <w:rsid w:val="42EB6093"/>
    <w:rsid w:val="42F473A1"/>
    <w:rsid w:val="42F61AFB"/>
    <w:rsid w:val="42F80FA5"/>
    <w:rsid w:val="4305361D"/>
    <w:rsid w:val="431C26D3"/>
    <w:rsid w:val="431F637C"/>
    <w:rsid w:val="432C2148"/>
    <w:rsid w:val="434E3AB8"/>
    <w:rsid w:val="43537F8A"/>
    <w:rsid w:val="43741014"/>
    <w:rsid w:val="43805D73"/>
    <w:rsid w:val="43D83C99"/>
    <w:rsid w:val="43DD4E0B"/>
    <w:rsid w:val="44107EE3"/>
    <w:rsid w:val="44191BBB"/>
    <w:rsid w:val="441E62C0"/>
    <w:rsid w:val="44380293"/>
    <w:rsid w:val="443E50E2"/>
    <w:rsid w:val="44406167"/>
    <w:rsid w:val="44967985"/>
    <w:rsid w:val="44974521"/>
    <w:rsid w:val="44C10289"/>
    <w:rsid w:val="44FB65C3"/>
    <w:rsid w:val="45097E82"/>
    <w:rsid w:val="45147341"/>
    <w:rsid w:val="45192471"/>
    <w:rsid w:val="452802B4"/>
    <w:rsid w:val="452F1A92"/>
    <w:rsid w:val="45325D14"/>
    <w:rsid w:val="453A5298"/>
    <w:rsid w:val="454F4D0B"/>
    <w:rsid w:val="456A5852"/>
    <w:rsid w:val="456B6447"/>
    <w:rsid w:val="457D0B54"/>
    <w:rsid w:val="45811C7C"/>
    <w:rsid w:val="45906116"/>
    <w:rsid w:val="45A0305D"/>
    <w:rsid w:val="45A03571"/>
    <w:rsid w:val="45B44292"/>
    <w:rsid w:val="45B72BF8"/>
    <w:rsid w:val="45C75D73"/>
    <w:rsid w:val="45C96298"/>
    <w:rsid w:val="45E356FB"/>
    <w:rsid w:val="45F51AEF"/>
    <w:rsid w:val="460B016C"/>
    <w:rsid w:val="46263C87"/>
    <w:rsid w:val="465219D4"/>
    <w:rsid w:val="465716AD"/>
    <w:rsid w:val="46745ABF"/>
    <w:rsid w:val="46830E83"/>
    <w:rsid w:val="468B3EFB"/>
    <w:rsid w:val="46AE3D43"/>
    <w:rsid w:val="46C44510"/>
    <w:rsid w:val="46CC1041"/>
    <w:rsid w:val="46CD455E"/>
    <w:rsid w:val="46D5130D"/>
    <w:rsid w:val="46E15B1B"/>
    <w:rsid w:val="46FF153C"/>
    <w:rsid w:val="46FF778E"/>
    <w:rsid w:val="470A6193"/>
    <w:rsid w:val="471B4E2C"/>
    <w:rsid w:val="47385210"/>
    <w:rsid w:val="474C2DD7"/>
    <w:rsid w:val="474D5830"/>
    <w:rsid w:val="47543636"/>
    <w:rsid w:val="475C3001"/>
    <w:rsid w:val="475F022D"/>
    <w:rsid w:val="47625066"/>
    <w:rsid w:val="47690E29"/>
    <w:rsid w:val="47767EAB"/>
    <w:rsid w:val="47864E13"/>
    <w:rsid w:val="478F1033"/>
    <w:rsid w:val="479A5F27"/>
    <w:rsid w:val="47A837E0"/>
    <w:rsid w:val="47C63E08"/>
    <w:rsid w:val="47D31E5D"/>
    <w:rsid w:val="47DC4F5C"/>
    <w:rsid w:val="47DD36B3"/>
    <w:rsid w:val="47F32E64"/>
    <w:rsid w:val="481C7304"/>
    <w:rsid w:val="482C6A5C"/>
    <w:rsid w:val="485C15EC"/>
    <w:rsid w:val="48783354"/>
    <w:rsid w:val="488D3FC9"/>
    <w:rsid w:val="48992B03"/>
    <w:rsid w:val="48B40671"/>
    <w:rsid w:val="48D8429F"/>
    <w:rsid w:val="48E34F9B"/>
    <w:rsid w:val="48F52BF7"/>
    <w:rsid w:val="48F73DFC"/>
    <w:rsid w:val="490D112E"/>
    <w:rsid w:val="493C2711"/>
    <w:rsid w:val="495664BB"/>
    <w:rsid w:val="495A6EFE"/>
    <w:rsid w:val="49751310"/>
    <w:rsid w:val="49973F6B"/>
    <w:rsid w:val="499B5738"/>
    <w:rsid w:val="499F244D"/>
    <w:rsid w:val="4A105051"/>
    <w:rsid w:val="4A280204"/>
    <w:rsid w:val="4A2D0198"/>
    <w:rsid w:val="4A420EE7"/>
    <w:rsid w:val="4A973F3F"/>
    <w:rsid w:val="4AE6282E"/>
    <w:rsid w:val="4AED2A70"/>
    <w:rsid w:val="4AF4108E"/>
    <w:rsid w:val="4AF50338"/>
    <w:rsid w:val="4AF96BC7"/>
    <w:rsid w:val="4B136101"/>
    <w:rsid w:val="4B1C090F"/>
    <w:rsid w:val="4B203103"/>
    <w:rsid w:val="4B32607A"/>
    <w:rsid w:val="4B464533"/>
    <w:rsid w:val="4B496045"/>
    <w:rsid w:val="4B545C08"/>
    <w:rsid w:val="4B5A416B"/>
    <w:rsid w:val="4B5D14C2"/>
    <w:rsid w:val="4B662EDE"/>
    <w:rsid w:val="4B667F55"/>
    <w:rsid w:val="4B6A63A2"/>
    <w:rsid w:val="4B6E0A3F"/>
    <w:rsid w:val="4B7C6990"/>
    <w:rsid w:val="4B7F00CA"/>
    <w:rsid w:val="4B8273D5"/>
    <w:rsid w:val="4B862A85"/>
    <w:rsid w:val="4B8B200B"/>
    <w:rsid w:val="4B98008D"/>
    <w:rsid w:val="4BAC4867"/>
    <w:rsid w:val="4BC863A1"/>
    <w:rsid w:val="4BF16188"/>
    <w:rsid w:val="4BF417D4"/>
    <w:rsid w:val="4BF92147"/>
    <w:rsid w:val="4C01654C"/>
    <w:rsid w:val="4C3A28DD"/>
    <w:rsid w:val="4C8018E7"/>
    <w:rsid w:val="4C8624FC"/>
    <w:rsid w:val="4C8A38D4"/>
    <w:rsid w:val="4C9C27CC"/>
    <w:rsid w:val="4CA20A24"/>
    <w:rsid w:val="4CB755B1"/>
    <w:rsid w:val="4CEF36E2"/>
    <w:rsid w:val="4CEF4DC5"/>
    <w:rsid w:val="4CF23DD6"/>
    <w:rsid w:val="4CF25996"/>
    <w:rsid w:val="4D171C3B"/>
    <w:rsid w:val="4D353E59"/>
    <w:rsid w:val="4D3D7D51"/>
    <w:rsid w:val="4D411D80"/>
    <w:rsid w:val="4D482BAA"/>
    <w:rsid w:val="4D4873F2"/>
    <w:rsid w:val="4D54264D"/>
    <w:rsid w:val="4D6A5813"/>
    <w:rsid w:val="4D797F6B"/>
    <w:rsid w:val="4D922FBD"/>
    <w:rsid w:val="4D9A766C"/>
    <w:rsid w:val="4DA62246"/>
    <w:rsid w:val="4DB54B95"/>
    <w:rsid w:val="4DC17B81"/>
    <w:rsid w:val="4DC23F1C"/>
    <w:rsid w:val="4DEE41E3"/>
    <w:rsid w:val="4DF21879"/>
    <w:rsid w:val="4DF71805"/>
    <w:rsid w:val="4E0A3FBD"/>
    <w:rsid w:val="4E17231F"/>
    <w:rsid w:val="4E257655"/>
    <w:rsid w:val="4E263853"/>
    <w:rsid w:val="4E2670DE"/>
    <w:rsid w:val="4E352A01"/>
    <w:rsid w:val="4E8E7871"/>
    <w:rsid w:val="4EA85542"/>
    <w:rsid w:val="4EC4406A"/>
    <w:rsid w:val="4EC455C1"/>
    <w:rsid w:val="4EF86E3C"/>
    <w:rsid w:val="4F06496B"/>
    <w:rsid w:val="4F0C1AC6"/>
    <w:rsid w:val="4F127C58"/>
    <w:rsid w:val="4F365F84"/>
    <w:rsid w:val="4F367AC5"/>
    <w:rsid w:val="4F372380"/>
    <w:rsid w:val="4F372FFB"/>
    <w:rsid w:val="4F4B5D83"/>
    <w:rsid w:val="4F71142E"/>
    <w:rsid w:val="4F7A6CA5"/>
    <w:rsid w:val="4F9C17F9"/>
    <w:rsid w:val="4FA7341A"/>
    <w:rsid w:val="4FC66A35"/>
    <w:rsid w:val="4FE34F88"/>
    <w:rsid w:val="4FEF4AC6"/>
    <w:rsid w:val="5025116D"/>
    <w:rsid w:val="50310AE7"/>
    <w:rsid w:val="503D7DBA"/>
    <w:rsid w:val="507725C3"/>
    <w:rsid w:val="50811214"/>
    <w:rsid w:val="508A158E"/>
    <w:rsid w:val="508D7BB9"/>
    <w:rsid w:val="50BF67C9"/>
    <w:rsid w:val="50C85235"/>
    <w:rsid w:val="50CA0599"/>
    <w:rsid w:val="50ED7CC8"/>
    <w:rsid w:val="50FB62A0"/>
    <w:rsid w:val="511E0283"/>
    <w:rsid w:val="515158DB"/>
    <w:rsid w:val="515A7AB7"/>
    <w:rsid w:val="516623C4"/>
    <w:rsid w:val="51B05107"/>
    <w:rsid w:val="51C23892"/>
    <w:rsid w:val="51DA39DC"/>
    <w:rsid w:val="51E0241A"/>
    <w:rsid w:val="51F1394A"/>
    <w:rsid w:val="5201085F"/>
    <w:rsid w:val="522024E6"/>
    <w:rsid w:val="52314419"/>
    <w:rsid w:val="52395ECD"/>
    <w:rsid w:val="526D1B33"/>
    <w:rsid w:val="526D4E29"/>
    <w:rsid w:val="52735E8B"/>
    <w:rsid w:val="52B44696"/>
    <w:rsid w:val="52BB5DFD"/>
    <w:rsid w:val="52C10D75"/>
    <w:rsid w:val="52D55821"/>
    <w:rsid w:val="52E33AC0"/>
    <w:rsid w:val="52EB2FB5"/>
    <w:rsid w:val="5302663C"/>
    <w:rsid w:val="53376E09"/>
    <w:rsid w:val="53655BA8"/>
    <w:rsid w:val="53A303CC"/>
    <w:rsid w:val="53C03E02"/>
    <w:rsid w:val="53C27FF8"/>
    <w:rsid w:val="53D0274A"/>
    <w:rsid w:val="53D94F3D"/>
    <w:rsid w:val="53EA1FF6"/>
    <w:rsid w:val="53EC03B2"/>
    <w:rsid w:val="540B5AE5"/>
    <w:rsid w:val="54167271"/>
    <w:rsid w:val="54457E2A"/>
    <w:rsid w:val="544A1D81"/>
    <w:rsid w:val="544E00F4"/>
    <w:rsid w:val="5475679C"/>
    <w:rsid w:val="548850A3"/>
    <w:rsid w:val="548E3F00"/>
    <w:rsid w:val="548E485C"/>
    <w:rsid w:val="549E1A80"/>
    <w:rsid w:val="54A159E1"/>
    <w:rsid w:val="54A33454"/>
    <w:rsid w:val="54AB108A"/>
    <w:rsid w:val="54BA25DB"/>
    <w:rsid w:val="54C658F4"/>
    <w:rsid w:val="54CB45B1"/>
    <w:rsid w:val="54CF22DF"/>
    <w:rsid w:val="54E0494C"/>
    <w:rsid w:val="54E171CD"/>
    <w:rsid w:val="54E7784F"/>
    <w:rsid w:val="54FE2E33"/>
    <w:rsid w:val="550C4BD7"/>
    <w:rsid w:val="55322669"/>
    <w:rsid w:val="5539470A"/>
    <w:rsid w:val="554C1D56"/>
    <w:rsid w:val="55572986"/>
    <w:rsid w:val="555761AA"/>
    <w:rsid w:val="555E236D"/>
    <w:rsid w:val="555E38D2"/>
    <w:rsid w:val="55805785"/>
    <w:rsid w:val="55A82C22"/>
    <w:rsid w:val="55C062DD"/>
    <w:rsid w:val="55C84FE2"/>
    <w:rsid w:val="55E822CC"/>
    <w:rsid w:val="56051FA0"/>
    <w:rsid w:val="5607446A"/>
    <w:rsid w:val="56081243"/>
    <w:rsid w:val="56182C00"/>
    <w:rsid w:val="56245CC2"/>
    <w:rsid w:val="56330E85"/>
    <w:rsid w:val="5637484F"/>
    <w:rsid w:val="565340FA"/>
    <w:rsid w:val="565C3ECA"/>
    <w:rsid w:val="565F7902"/>
    <w:rsid w:val="56636EEC"/>
    <w:rsid w:val="56790914"/>
    <w:rsid w:val="567D64C6"/>
    <w:rsid w:val="568E01E7"/>
    <w:rsid w:val="569A7860"/>
    <w:rsid w:val="56B25952"/>
    <w:rsid w:val="56FC519F"/>
    <w:rsid w:val="571B3688"/>
    <w:rsid w:val="571F4860"/>
    <w:rsid w:val="5723343E"/>
    <w:rsid w:val="573D7EAB"/>
    <w:rsid w:val="57580904"/>
    <w:rsid w:val="578057C8"/>
    <w:rsid w:val="578231ED"/>
    <w:rsid w:val="57856002"/>
    <w:rsid w:val="57871C26"/>
    <w:rsid w:val="57893184"/>
    <w:rsid w:val="57A66BAB"/>
    <w:rsid w:val="57AA18F7"/>
    <w:rsid w:val="57D21B1D"/>
    <w:rsid w:val="57DD34B9"/>
    <w:rsid w:val="57E6392C"/>
    <w:rsid w:val="57F706C9"/>
    <w:rsid w:val="58017793"/>
    <w:rsid w:val="581B5AAA"/>
    <w:rsid w:val="58244E5C"/>
    <w:rsid w:val="58685C59"/>
    <w:rsid w:val="58697500"/>
    <w:rsid w:val="5874230E"/>
    <w:rsid w:val="58843841"/>
    <w:rsid w:val="5891308F"/>
    <w:rsid w:val="589236B1"/>
    <w:rsid w:val="58C86B99"/>
    <w:rsid w:val="58DB0E48"/>
    <w:rsid w:val="5904102E"/>
    <w:rsid w:val="590A564B"/>
    <w:rsid w:val="59415D84"/>
    <w:rsid w:val="5944577D"/>
    <w:rsid w:val="594D2B53"/>
    <w:rsid w:val="598813E0"/>
    <w:rsid w:val="59914276"/>
    <w:rsid w:val="5999679A"/>
    <w:rsid w:val="599B7268"/>
    <w:rsid w:val="599C38F2"/>
    <w:rsid w:val="59A03BB4"/>
    <w:rsid w:val="59AA0FB1"/>
    <w:rsid w:val="59B91F8C"/>
    <w:rsid w:val="59EF6A42"/>
    <w:rsid w:val="59F20EF7"/>
    <w:rsid w:val="5A1030D6"/>
    <w:rsid w:val="5A2E7D17"/>
    <w:rsid w:val="5A2F2CC8"/>
    <w:rsid w:val="5A6059E2"/>
    <w:rsid w:val="5A673F93"/>
    <w:rsid w:val="5A723722"/>
    <w:rsid w:val="5A7D02BC"/>
    <w:rsid w:val="5A84088B"/>
    <w:rsid w:val="5A8C2C8F"/>
    <w:rsid w:val="5AAA4EE2"/>
    <w:rsid w:val="5AC95C92"/>
    <w:rsid w:val="5B436D5A"/>
    <w:rsid w:val="5B487697"/>
    <w:rsid w:val="5B570637"/>
    <w:rsid w:val="5B79092D"/>
    <w:rsid w:val="5B7D33AD"/>
    <w:rsid w:val="5B7F28A2"/>
    <w:rsid w:val="5B8E36FB"/>
    <w:rsid w:val="5B9C3F03"/>
    <w:rsid w:val="5BA26962"/>
    <w:rsid w:val="5BA85879"/>
    <w:rsid w:val="5BAF1477"/>
    <w:rsid w:val="5BAF6C35"/>
    <w:rsid w:val="5BB978F4"/>
    <w:rsid w:val="5BC1259B"/>
    <w:rsid w:val="5C10702D"/>
    <w:rsid w:val="5C14136F"/>
    <w:rsid w:val="5C152601"/>
    <w:rsid w:val="5C20614F"/>
    <w:rsid w:val="5C591F03"/>
    <w:rsid w:val="5C697AAA"/>
    <w:rsid w:val="5C8A1B2F"/>
    <w:rsid w:val="5C9257B9"/>
    <w:rsid w:val="5C96399E"/>
    <w:rsid w:val="5CAF3DCD"/>
    <w:rsid w:val="5CEA4062"/>
    <w:rsid w:val="5CEE378D"/>
    <w:rsid w:val="5D292A17"/>
    <w:rsid w:val="5D2C1215"/>
    <w:rsid w:val="5D4D4133"/>
    <w:rsid w:val="5D857790"/>
    <w:rsid w:val="5D861815"/>
    <w:rsid w:val="5D8936D2"/>
    <w:rsid w:val="5D914004"/>
    <w:rsid w:val="5DD80331"/>
    <w:rsid w:val="5DD95E29"/>
    <w:rsid w:val="5DDD16DD"/>
    <w:rsid w:val="5DF41766"/>
    <w:rsid w:val="5E015F08"/>
    <w:rsid w:val="5E615889"/>
    <w:rsid w:val="5E727AB0"/>
    <w:rsid w:val="5E847BF7"/>
    <w:rsid w:val="5E936FAE"/>
    <w:rsid w:val="5EAA1124"/>
    <w:rsid w:val="5EC0115A"/>
    <w:rsid w:val="5EC8520A"/>
    <w:rsid w:val="5ED25050"/>
    <w:rsid w:val="5F0341A4"/>
    <w:rsid w:val="5F0A7504"/>
    <w:rsid w:val="5F114CB9"/>
    <w:rsid w:val="5F174D94"/>
    <w:rsid w:val="5F4F5E24"/>
    <w:rsid w:val="5F561B72"/>
    <w:rsid w:val="5F7F1015"/>
    <w:rsid w:val="5F811AD3"/>
    <w:rsid w:val="5F8E3288"/>
    <w:rsid w:val="5F92448C"/>
    <w:rsid w:val="5FA13309"/>
    <w:rsid w:val="5FB646B2"/>
    <w:rsid w:val="5FBB0ADC"/>
    <w:rsid w:val="5FC2179D"/>
    <w:rsid w:val="5FE00927"/>
    <w:rsid w:val="5FE24EDD"/>
    <w:rsid w:val="5FE437FC"/>
    <w:rsid w:val="5FED0446"/>
    <w:rsid w:val="5FF87C07"/>
    <w:rsid w:val="60014470"/>
    <w:rsid w:val="602A626F"/>
    <w:rsid w:val="603E60FC"/>
    <w:rsid w:val="60504C82"/>
    <w:rsid w:val="606007BB"/>
    <w:rsid w:val="606163EC"/>
    <w:rsid w:val="608E10F9"/>
    <w:rsid w:val="6095423F"/>
    <w:rsid w:val="60AC7F66"/>
    <w:rsid w:val="60C13070"/>
    <w:rsid w:val="611E12A8"/>
    <w:rsid w:val="61226064"/>
    <w:rsid w:val="61497909"/>
    <w:rsid w:val="614E0C9F"/>
    <w:rsid w:val="614F0CAD"/>
    <w:rsid w:val="6182423A"/>
    <w:rsid w:val="6189448A"/>
    <w:rsid w:val="61A475B0"/>
    <w:rsid w:val="61A66546"/>
    <w:rsid w:val="61BD42A4"/>
    <w:rsid w:val="61BF10D9"/>
    <w:rsid w:val="61BF1193"/>
    <w:rsid w:val="61DA3D4C"/>
    <w:rsid w:val="61F215C9"/>
    <w:rsid w:val="62052E11"/>
    <w:rsid w:val="6265481D"/>
    <w:rsid w:val="626A5412"/>
    <w:rsid w:val="62AC22DC"/>
    <w:rsid w:val="62B22B31"/>
    <w:rsid w:val="62BF2D76"/>
    <w:rsid w:val="62FA4283"/>
    <w:rsid w:val="630871F9"/>
    <w:rsid w:val="630A6917"/>
    <w:rsid w:val="63177FBC"/>
    <w:rsid w:val="632630D2"/>
    <w:rsid w:val="633575E4"/>
    <w:rsid w:val="633E67A6"/>
    <w:rsid w:val="63493F8F"/>
    <w:rsid w:val="635251C8"/>
    <w:rsid w:val="6354469B"/>
    <w:rsid w:val="635A3E88"/>
    <w:rsid w:val="635C1FFD"/>
    <w:rsid w:val="63606311"/>
    <w:rsid w:val="63607FA4"/>
    <w:rsid w:val="63724593"/>
    <w:rsid w:val="637833E8"/>
    <w:rsid w:val="63DE0947"/>
    <w:rsid w:val="63F14628"/>
    <w:rsid w:val="63F30799"/>
    <w:rsid w:val="64481274"/>
    <w:rsid w:val="648743E5"/>
    <w:rsid w:val="64941CD4"/>
    <w:rsid w:val="64B10E28"/>
    <w:rsid w:val="64BB10E5"/>
    <w:rsid w:val="64C0006E"/>
    <w:rsid w:val="64C210FC"/>
    <w:rsid w:val="64D8014C"/>
    <w:rsid w:val="64E45EF7"/>
    <w:rsid w:val="64E536C8"/>
    <w:rsid w:val="650D635E"/>
    <w:rsid w:val="651240A3"/>
    <w:rsid w:val="6528541A"/>
    <w:rsid w:val="6544472C"/>
    <w:rsid w:val="65465871"/>
    <w:rsid w:val="654866C3"/>
    <w:rsid w:val="654E2D83"/>
    <w:rsid w:val="6555098E"/>
    <w:rsid w:val="65B25CA0"/>
    <w:rsid w:val="65BE1AB2"/>
    <w:rsid w:val="65D06BA5"/>
    <w:rsid w:val="65DF7832"/>
    <w:rsid w:val="65F12154"/>
    <w:rsid w:val="661D63AD"/>
    <w:rsid w:val="661F2C0A"/>
    <w:rsid w:val="6630196A"/>
    <w:rsid w:val="664457C3"/>
    <w:rsid w:val="665253D0"/>
    <w:rsid w:val="66815672"/>
    <w:rsid w:val="66873275"/>
    <w:rsid w:val="6691014E"/>
    <w:rsid w:val="66C1066D"/>
    <w:rsid w:val="66C87CCE"/>
    <w:rsid w:val="66D23840"/>
    <w:rsid w:val="66E1028C"/>
    <w:rsid w:val="66E73D86"/>
    <w:rsid w:val="66FB490A"/>
    <w:rsid w:val="670006DA"/>
    <w:rsid w:val="67592253"/>
    <w:rsid w:val="677435B2"/>
    <w:rsid w:val="6779688C"/>
    <w:rsid w:val="67814D8C"/>
    <w:rsid w:val="678801E7"/>
    <w:rsid w:val="678D2EAE"/>
    <w:rsid w:val="67AC1EB3"/>
    <w:rsid w:val="67E35B9E"/>
    <w:rsid w:val="67EF75F1"/>
    <w:rsid w:val="67F323FA"/>
    <w:rsid w:val="681E6A42"/>
    <w:rsid w:val="682062DD"/>
    <w:rsid w:val="68264723"/>
    <w:rsid w:val="6828218F"/>
    <w:rsid w:val="68327BBE"/>
    <w:rsid w:val="68394457"/>
    <w:rsid w:val="68836ACA"/>
    <w:rsid w:val="688D5804"/>
    <w:rsid w:val="6897117D"/>
    <w:rsid w:val="689736F8"/>
    <w:rsid w:val="68B35F15"/>
    <w:rsid w:val="68D0643D"/>
    <w:rsid w:val="68D401F0"/>
    <w:rsid w:val="690C66E5"/>
    <w:rsid w:val="69124F16"/>
    <w:rsid w:val="692556B9"/>
    <w:rsid w:val="69280117"/>
    <w:rsid w:val="693022D8"/>
    <w:rsid w:val="694A5205"/>
    <w:rsid w:val="694C59EB"/>
    <w:rsid w:val="69874AA4"/>
    <w:rsid w:val="69AD518D"/>
    <w:rsid w:val="69CD5C14"/>
    <w:rsid w:val="69CF0D33"/>
    <w:rsid w:val="69D8686C"/>
    <w:rsid w:val="69D96AC3"/>
    <w:rsid w:val="69F567A0"/>
    <w:rsid w:val="6A1A7186"/>
    <w:rsid w:val="6A2D3C19"/>
    <w:rsid w:val="6A36068B"/>
    <w:rsid w:val="6A434A35"/>
    <w:rsid w:val="6A4B2209"/>
    <w:rsid w:val="6A5066CB"/>
    <w:rsid w:val="6A512713"/>
    <w:rsid w:val="6A542D51"/>
    <w:rsid w:val="6A5F0F50"/>
    <w:rsid w:val="6A6030C4"/>
    <w:rsid w:val="6A6E5F0E"/>
    <w:rsid w:val="6A767148"/>
    <w:rsid w:val="6A7F05D0"/>
    <w:rsid w:val="6AAB324D"/>
    <w:rsid w:val="6AB235AF"/>
    <w:rsid w:val="6ABD719F"/>
    <w:rsid w:val="6AC13E4D"/>
    <w:rsid w:val="6AC83870"/>
    <w:rsid w:val="6ADA17F5"/>
    <w:rsid w:val="6AE644C3"/>
    <w:rsid w:val="6AE71A96"/>
    <w:rsid w:val="6AF64E0B"/>
    <w:rsid w:val="6AFD4928"/>
    <w:rsid w:val="6B14078A"/>
    <w:rsid w:val="6B175FBC"/>
    <w:rsid w:val="6B297797"/>
    <w:rsid w:val="6B2F4D3E"/>
    <w:rsid w:val="6B303F71"/>
    <w:rsid w:val="6B374E7A"/>
    <w:rsid w:val="6B4317B4"/>
    <w:rsid w:val="6B4A10E4"/>
    <w:rsid w:val="6B5C4B71"/>
    <w:rsid w:val="6B614E02"/>
    <w:rsid w:val="6B623CC4"/>
    <w:rsid w:val="6B7E2908"/>
    <w:rsid w:val="6B9946B3"/>
    <w:rsid w:val="6BF5106A"/>
    <w:rsid w:val="6C211E68"/>
    <w:rsid w:val="6C241930"/>
    <w:rsid w:val="6C2D0A9C"/>
    <w:rsid w:val="6C372961"/>
    <w:rsid w:val="6C4052D5"/>
    <w:rsid w:val="6C431EF3"/>
    <w:rsid w:val="6C4B0DE1"/>
    <w:rsid w:val="6C4E6902"/>
    <w:rsid w:val="6C5B59F4"/>
    <w:rsid w:val="6C662189"/>
    <w:rsid w:val="6C6B22D7"/>
    <w:rsid w:val="6C6C2F38"/>
    <w:rsid w:val="6C7007C7"/>
    <w:rsid w:val="6C8934D3"/>
    <w:rsid w:val="6C8C2B67"/>
    <w:rsid w:val="6C8D38AF"/>
    <w:rsid w:val="6C8D7684"/>
    <w:rsid w:val="6CA13443"/>
    <w:rsid w:val="6CA83959"/>
    <w:rsid w:val="6CB04275"/>
    <w:rsid w:val="6CDC07DA"/>
    <w:rsid w:val="6CDF720B"/>
    <w:rsid w:val="6CF92C55"/>
    <w:rsid w:val="6D21360D"/>
    <w:rsid w:val="6D3A3B10"/>
    <w:rsid w:val="6D415399"/>
    <w:rsid w:val="6D4C7D54"/>
    <w:rsid w:val="6D5E0131"/>
    <w:rsid w:val="6D60703C"/>
    <w:rsid w:val="6D616805"/>
    <w:rsid w:val="6D68310A"/>
    <w:rsid w:val="6D6D4330"/>
    <w:rsid w:val="6D7FD76D"/>
    <w:rsid w:val="6D8B0FD6"/>
    <w:rsid w:val="6D915D95"/>
    <w:rsid w:val="6D94625C"/>
    <w:rsid w:val="6D9B53CB"/>
    <w:rsid w:val="6DB63374"/>
    <w:rsid w:val="6DD07C38"/>
    <w:rsid w:val="6DE76850"/>
    <w:rsid w:val="6DF8337B"/>
    <w:rsid w:val="6E030A47"/>
    <w:rsid w:val="6E1A3980"/>
    <w:rsid w:val="6E2B50E3"/>
    <w:rsid w:val="6E506EFF"/>
    <w:rsid w:val="6E647D53"/>
    <w:rsid w:val="6E8059E4"/>
    <w:rsid w:val="6E930639"/>
    <w:rsid w:val="6E9A3775"/>
    <w:rsid w:val="6E9E45BF"/>
    <w:rsid w:val="6EA34CC4"/>
    <w:rsid w:val="6EC00BE3"/>
    <w:rsid w:val="6EE14809"/>
    <w:rsid w:val="6EE54F57"/>
    <w:rsid w:val="6F055DD7"/>
    <w:rsid w:val="6F2E0D5F"/>
    <w:rsid w:val="6F395B8B"/>
    <w:rsid w:val="6F4A6530"/>
    <w:rsid w:val="6F6B76CB"/>
    <w:rsid w:val="6F6E0ACF"/>
    <w:rsid w:val="6F753C1F"/>
    <w:rsid w:val="6F964F3B"/>
    <w:rsid w:val="6FB20BD4"/>
    <w:rsid w:val="6FB650F7"/>
    <w:rsid w:val="6FB75277"/>
    <w:rsid w:val="6FBA59BE"/>
    <w:rsid w:val="6FD64135"/>
    <w:rsid w:val="6FF16C9A"/>
    <w:rsid w:val="6FF2418B"/>
    <w:rsid w:val="6FF3192C"/>
    <w:rsid w:val="702726F0"/>
    <w:rsid w:val="70296B3E"/>
    <w:rsid w:val="704255C1"/>
    <w:rsid w:val="704751B9"/>
    <w:rsid w:val="70497291"/>
    <w:rsid w:val="705B357E"/>
    <w:rsid w:val="70611204"/>
    <w:rsid w:val="70BF0EE0"/>
    <w:rsid w:val="70C20C9C"/>
    <w:rsid w:val="70C57C29"/>
    <w:rsid w:val="70D01410"/>
    <w:rsid w:val="70D036E5"/>
    <w:rsid w:val="70D32204"/>
    <w:rsid w:val="70F15847"/>
    <w:rsid w:val="71091A03"/>
    <w:rsid w:val="710A582E"/>
    <w:rsid w:val="71147BFE"/>
    <w:rsid w:val="713116FD"/>
    <w:rsid w:val="71370AC8"/>
    <w:rsid w:val="713D46C5"/>
    <w:rsid w:val="71434E47"/>
    <w:rsid w:val="71486F7F"/>
    <w:rsid w:val="715F2A54"/>
    <w:rsid w:val="71662A10"/>
    <w:rsid w:val="71926986"/>
    <w:rsid w:val="71982A8B"/>
    <w:rsid w:val="71A17BB2"/>
    <w:rsid w:val="71C823A7"/>
    <w:rsid w:val="72204649"/>
    <w:rsid w:val="722C5869"/>
    <w:rsid w:val="72450FB0"/>
    <w:rsid w:val="72487743"/>
    <w:rsid w:val="72540721"/>
    <w:rsid w:val="725E1213"/>
    <w:rsid w:val="727D6954"/>
    <w:rsid w:val="72844D41"/>
    <w:rsid w:val="72862C7E"/>
    <w:rsid w:val="728976DF"/>
    <w:rsid w:val="72936E2F"/>
    <w:rsid w:val="72CF4F19"/>
    <w:rsid w:val="72EA7F26"/>
    <w:rsid w:val="72EC79FB"/>
    <w:rsid w:val="72F378F8"/>
    <w:rsid w:val="72F67BF9"/>
    <w:rsid w:val="731178E3"/>
    <w:rsid w:val="73240DF9"/>
    <w:rsid w:val="732C6F33"/>
    <w:rsid w:val="733D16A9"/>
    <w:rsid w:val="73425548"/>
    <w:rsid w:val="73445350"/>
    <w:rsid w:val="73514DB1"/>
    <w:rsid w:val="736A73D7"/>
    <w:rsid w:val="737C5261"/>
    <w:rsid w:val="73830C7C"/>
    <w:rsid w:val="738A77D2"/>
    <w:rsid w:val="73A553FF"/>
    <w:rsid w:val="73AC15DC"/>
    <w:rsid w:val="73F27930"/>
    <w:rsid w:val="74121260"/>
    <w:rsid w:val="743462D3"/>
    <w:rsid w:val="74365CEE"/>
    <w:rsid w:val="743E7D5E"/>
    <w:rsid w:val="7441374C"/>
    <w:rsid w:val="744149C3"/>
    <w:rsid w:val="74474E71"/>
    <w:rsid w:val="74A93E5A"/>
    <w:rsid w:val="74C633BB"/>
    <w:rsid w:val="74CC21AE"/>
    <w:rsid w:val="74DD3342"/>
    <w:rsid w:val="74FA2C30"/>
    <w:rsid w:val="751D1A0B"/>
    <w:rsid w:val="753B09F7"/>
    <w:rsid w:val="754D5C4B"/>
    <w:rsid w:val="756C78B0"/>
    <w:rsid w:val="757939B3"/>
    <w:rsid w:val="757E50F6"/>
    <w:rsid w:val="75855224"/>
    <w:rsid w:val="75A05064"/>
    <w:rsid w:val="75A85DA3"/>
    <w:rsid w:val="75AB5440"/>
    <w:rsid w:val="75BF7F65"/>
    <w:rsid w:val="75CB60C0"/>
    <w:rsid w:val="75E76F6F"/>
    <w:rsid w:val="75EC127C"/>
    <w:rsid w:val="75F142DB"/>
    <w:rsid w:val="75F23E97"/>
    <w:rsid w:val="760B3F34"/>
    <w:rsid w:val="7621477C"/>
    <w:rsid w:val="76334397"/>
    <w:rsid w:val="765B4F30"/>
    <w:rsid w:val="766C4E79"/>
    <w:rsid w:val="766D6FAF"/>
    <w:rsid w:val="767D07C6"/>
    <w:rsid w:val="768F7316"/>
    <w:rsid w:val="769757DC"/>
    <w:rsid w:val="769B452E"/>
    <w:rsid w:val="76A143E8"/>
    <w:rsid w:val="76BF1D66"/>
    <w:rsid w:val="76C240A7"/>
    <w:rsid w:val="76C8773D"/>
    <w:rsid w:val="76F263F7"/>
    <w:rsid w:val="770F3331"/>
    <w:rsid w:val="77285125"/>
    <w:rsid w:val="77315AC4"/>
    <w:rsid w:val="775246B7"/>
    <w:rsid w:val="77583C37"/>
    <w:rsid w:val="775974AF"/>
    <w:rsid w:val="778264A7"/>
    <w:rsid w:val="77977DAD"/>
    <w:rsid w:val="77CA234A"/>
    <w:rsid w:val="781E69D1"/>
    <w:rsid w:val="782A2DF7"/>
    <w:rsid w:val="78DE4305"/>
    <w:rsid w:val="797F0359"/>
    <w:rsid w:val="7988495F"/>
    <w:rsid w:val="79962040"/>
    <w:rsid w:val="799A2861"/>
    <w:rsid w:val="79A4105F"/>
    <w:rsid w:val="79BC014A"/>
    <w:rsid w:val="79BC34FC"/>
    <w:rsid w:val="79C95D86"/>
    <w:rsid w:val="79D042C8"/>
    <w:rsid w:val="79D90DD4"/>
    <w:rsid w:val="7A263B6B"/>
    <w:rsid w:val="7A2A6E84"/>
    <w:rsid w:val="7A2D01BD"/>
    <w:rsid w:val="7A2F56B9"/>
    <w:rsid w:val="7A447E0C"/>
    <w:rsid w:val="7A573C85"/>
    <w:rsid w:val="7A6D67DD"/>
    <w:rsid w:val="7A7106D0"/>
    <w:rsid w:val="7A8E7E6B"/>
    <w:rsid w:val="7A9F3904"/>
    <w:rsid w:val="7AF46346"/>
    <w:rsid w:val="7AF753E6"/>
    <w:rsid w:val="7B0F5EBF"/>
    <w:rsid w:val="7B125252"/>
    <w:rsid w:val="7B130FB9"/>
    <w:rsid w:val="7B14483E"/>
    <w:rsid w:val="7B1C0A25"/>
    <w:rsid w:val="7B2611AB"/>
    <w:rsid w:val="7B4E6A0D"/>
    <w:rsid w:val="7B641BCE"/>
    <w:rsid w:val="7B770612"/>
    <w:rsid w:val="7B875F34"/>
    <w:rsid w:val="7BD215B2"/>
    <w:rsid w:val="7BDD6F19"/>
    <w:rsid w:val="7BF64EDE"/>
    <w:rsid w:val="7C10151B"/>
    <w:rsid w:val="7C141428"/>
    <w:rsid w:val="7C221C6B"/>
    <w:rsid w:val="7C370186"/>
    <w:rsid w:val="7C400C1E"/>
    <w:rsid w:val="7C99714C"/>
    <w:rsid w:val="7CA07DE8"/>
    <w:rsid w:val="7CA53FD5"/>
    <w:rsid w:val="7CB50883"/>
    <w:rsid w:val="7CBE6D5D"/>
    <w:rsid w:val="7CCF481C"/>
    <w:rsid w:val="7CDD1808"/>
    <w:rsid w:val="7CF57CC1"/>
    <w:rsid w:val="7D034BDB"/>
    <w:rsid w:val="7D0B5456"/>
    <w:rsid w:val="7D2B12B1"/>
    <w:rsid w:val="7D352792"/>
    <w:rsid w:val="7D563551"/>
    <w:rsid w:val="7D6F6791"/>
    <w:rsid w:val="7D7558BB"/>
    <w:rsid w:val="7D830B9D"/>
    <w:rsid w:val="7D905E8D"/>
    <w:rsid w:val="7DB23C3E"/>
    <w:rsid w:val="7DD11708"/>
    <w:rsid w:val="7DE5430C"/>
    <w:rsid w:val="7DE64899"/>
    <w:rsid w:val="7DF813B2"/>
    <w:rsid w:val="7DFC32D8"/>
    <w:rsid w:val="7DFD7978"/>
    <w:rsid w:val="7E0763E6"/>
    <w:rsid w:val="7E1202A7"/>
    <w:rsid w:val="7E156055"/>
    <w:rsid w:val="7E2D7872"/>
    <w:rsid w:val="7E522C19"/>
    <w:rsid w:val="7E5C0F61"/>
    <w:rsid w:val="7E786F03"/>
    <w:rsid w:val="7E7B37EB"/>
    <w:rsid w:val="7E8E6EBF"/>
    <w:rsid w:val="7EAA7A04"/>
    <w:rsid w:val="7EAD21C3"/>
    <w:rsid w:val="7EBD579E"/>
    <w:rsid w:val="7EC167BD"/>
    <w:rsid w:val="7ED56D33"/>
    <w:rsid w:val="7EF364D5"/>
    <w:rsid w:val="7EFC345C"/>
    <w:rsid w:val="7F1A6960"/>
    <w:rsid w:val="7F272D9E"/>
    <w:rsid w:val="7F397426"/>
    <w:rsid w:val="7F507488"/>
    <w:rsid w:val="7F657C66"/>
    <w:rsid w:val="7F687D9B"/>
    <w:rsid w:val="7F7848F6"/>
    <w:rsid w:val="7FF32CE5"/>
    <w:rsid w:val="7FF54CAF"/>
    <w:rsid w:val="7FFD534D"/>
    <w:rsid w:val="EBD94D4F"/>
    <w:rsid w:val="FB1B5177"/>
    <w:rsid w:val="FB6BCAC0"/>
    <w:rsid w:val="FFEF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nhideWhenUsed="0" w:uiPriority="9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nhideWhenUsed="0"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qFormat="1" w:unhideWhenUsed="0" w:uiPriority="99" w:semiHidden="0" w:name="table of authorities"/>
    <w:lsdException w:uiPriority="99" w:name="macro"/>
    <w:lsdException w:uiPriority="99" w:name="toa heading"/>
    <w:lsdException w:qFormat="1" w:uiPriority="99"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5"/>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46"/>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7"/>
    <w:qFormat/>
    <w:uiPriority w:val="99"/>
    <w:pPr>
      <w:keepNext/>
      <w:keepLines/>
      <w:spacing w:before="260" w:after="260" w:line="416" w:lineRule="auto"/>
      <w:outlineLvl w:val="2"/>
    </w:pPr>
    <w:rPr>
      <w:b/>
      <w:bCs/>
      <w:sz w:val="32"/>
      <w:szCs w:val="32"/>
    </w:rPr>
  </w:style>
  <w:style w:type="paragraph" w:styleId="6">
    <w:name w:val="heading 4"/>
    <w:basedOn w:val="1"/>
    <w:next w:val="1"/>
    <w:link w:val="48"/>
    <w:qFormat/>
    <w:uiPriority w:val="9"/>
    <w:pPr>
      <w:keepNext/>
      <w:keepLines/>
      <w:spacing w:before="280" w:after="290" w:line="372" w:lineRule="auto"/>
      <w:outlineLvl w:val="3"/>
    </w:pPr>
    <w:rPr>
      <w:rFonts w:ascii="Arial" w:hAnsi="Arial" w:eastAsia="黑体"/>
      <w:b/>
      <w:sz w:val="28"/>
    </w:rPr>
  </w:style>
  <w:style w:type="paragraph" w:styleId="7">
    <w:name w:val="heading 5"/>
    <w:basedOn w:val="1"/>
    <w:next w:val="8"/>
    <w:link w:val="49"/>
    <w:qFormat/>
    <w:uiPriority w:val="9"/>
    <w:pPr>
      <w:keepNext/>
      <w:keepLines/>
      <w:spacing w:before="280" w:after="290" w:line="376" w:lineRule="auto"/>
      <w:outlineLvl w:val="4"/>
    </w:pPr>
    <w:rPr>
      <w:b/>
      <w:bCs/>
      <w:sz w:val="28"/>
      <w:szCs w:val="28"/>
    </w:rPr>
  </w:style>
  <w:style w:type="paragraph" w:styleId="9">
    <w:name w:val="heading 8"/>
    <w:basedOn w:val="1"/>
    <w:next w:val="1"/>
    <w:link w:val="50"/>
    <w:qFormat/>
    <w:uiPriority w:val="9"/>
    <w:pPr>
      <w:keepNext/>
      <w:keepLines/>
      <w:spacing w:before="240" w:after="64" w:line="320" w:lineRule="auto"/>
      <w:outlineLvl w:val="7"/>
    </w:pPr>
    <w:rPr>
      <w:rFonts w:ascii="等线 Light" w:hAnsi="等线 Light" w:eastAsia="等线 Light"/>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2"/>
    <w:unhideWhenUsed/>
    <w:qFormat/>
    <w:uiPriority w:val="0"/>
    <w:pPr>
      <w:spacing w:after="120"/>
    </w:pPr>
  </w:style>
  <w:style w:type="paragraph" w:styleId="8">
    <w:name w:val="Normal Indent"/>
    <w:basedOn w:val="1"/>
    <w:qFormat/>
    <w:uiPriority w:val="99"/>
    <w:pPr>
      <w:ind w:firstLine="420"/>
    </w:pPr>
    <w:rPr>
      <w:szCs w:val="20"/>
    </w:rPr>
  </w:style>
  <w:style w:type="paragraph" w:styleId="10">
    <w:name w:val="table of authorities"/>
    <w:basedOn w:val="1"/>
    <w:next w:val="1"/>
    <w:qFormat/>
    <w:uiPriority w:val="99"/>
    <w:pPr>
      <w:ind w:left="420" w:leftChars="200"/>
    </w:pPr>
    <w:rPr>
      <w:rFonts w:ascii="Calibri" w:hAnsi="Calibri"/>
    </w:rPr>
  </w:style>
  <w:style w:type="paragraph" w:styleId="11">
    <w:name w:val="index 8"/>
    <w:basedOn w:val="1"/>
    <w:next w:val="1"/>
    <w:qFormat/>
    <w:uiPriority w:val="0"/>
    <w:pPr>
      <w:ind w:left="2940"/>
    </w:pPr>
  </w:style>
  <w:style w:type="paragraph" w:styleId="12">
    <w:name w:val="List Number"/>
    <w:basedOn w:val="1"/>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3">
    <w:name w:val="caption"/>
    <w:basedOn w:val="1"/>
    <w:next w:val="1"/>
    <w:qFormat/>
    <w:uiPriority w:val="0"/>
    <w:rPr>
      <w:rFonts w:ascii="DejaVu Sans" w:hAnsi="DejaVu Sans" w:eastAsia="方正黑体_GBK"/>
      <w:sz w:val="20"/>
    </w:rPr>
  </w:style>
  <w:style w:type="paragraph" w:styleId="14">
    <w:name w:val="annotation text"/>
    <w:basedOn w:val="1"/>
    <w:link w:val="42"/>
    <w:qFormat/>
    <w:uiPriority w:val="99"/>
    <w:pPr>
      <w:jc w:val="left"/>
    </w:pPr>
  </w:style>
  <w:style w:type="paragraph" w:styleId="15">
    <w:name w:val="Body Text 3"/>
    <w:basedOn w:val="1"/>
    <w:link w:val="51"/>
    <w:unhideWhenUsed/>
    <w:qFormat/>
    <w:uiPriority w:val="99"/>
    <w:pPr>
      <w:spacing w:after="120"/>
    </w:pPr>
    <w:rPr>
      <w:sz w:val="16"/>
      <w:szCs w:val="16"/>
    </w:rPr>
  </w:style>
  <w:style w:type="paragraph" w:styleId="16">
    <w:name w:val="Body Text Indent"/>
    <w:basedOn w:val="1"/>
    <w:link w:val="41"/>
    <w:qFormat/>
    <w:uiPriority w:val="99"/>
    <w:pPr>
      <w:ind w:firstLine="830" w:firstLineChars="352"/>
    </w:pPr>
    <w:rPr>
      <w:rFonts w:ascii="仿宋_GB2312" w:eastAsia="仿宋_GB2312"/>
      <w:kern w:val="0"/>
      <w:sz w:val="32"/>
      <w:szCs w:val="20"/>
    </w:rPr>
  </w:style>
  <w:style w:type="paragraph" w:styleId="17">
    <w:name w:val="List 2"/>
    <w:basedOn w:val="1"/>
    <w:unhideWhenUsed/>
    <w:qFormat/>
    <w:uiPriority w:val="99"/>
    <w:pPr>
      <w:ind w:left="100" w:leftChars="200" w:hanging="200" w:hangingChars="200"/>
      <w:contextualSpacing/>
    </w:pPr>
  </w:style>
  <w:style w:type="paragraph" w:styleId="18">
    <w:name w:val="toc 3"/>
    <w:basedOn w:val="1"/>
    <w:next w:val="1"/>
    <w:unhideWhenUsed/>
    <w:qFormat/>
    <w:uiPriority w:val="39"/>
    <w:pPr>
      <w:ind w:left="840" w:leftChars="400"/>
    </w:pPr>
  </w:style>
  <w:style w:type="paragraph" w:styleId="19">
    <w:name w:val="Plain Text"/>
    <w:basedOn w:val="1"/>
    <w:next w:val="6"/>
    <w:link w:val="53"/>
    <w:qFormat/>
    <w:uiPriority w:val="0"/>
    <w:rPr>
      <w:rFonts w:ascii="宋体" w:hAnsi="Courier New"/>
      <w:kern w:val="0"/>
      <w:sz w:val="20"/>
      <w:szCs w:val="21"/>
    </w:rPr>
  </w:style>
  <w:style w:type="paragraph" w:styleId="20">
    <w:name w:val="Date"/>
    <w:basedOn w:val="1"/>
    <w:next w:val="1"/>
    <w:link w:val="54"/>
    <w:unhideWhenUsed/>
    <w:qFormat/>
    <w:uiPriority w:val="99"/>
    <w:pPr>
      <w:ind w:left="100" w:leftChars="2500"/>
    </w:pPr>
  </w:style>
  <w:style w:type="paragraph" w:styleId="21">
    <w:name w:val="Balloon Text"/>
    <w:basedOn w:val="1"/>
    <w:semiHidden/>
    <w:qFormat/>
    <w:uiPriority w:val="0"/>
    <w:rPr>
      <w:sz w:val="18"/>
      <w:szCs w:val="18"/>
    </w:rPr>
  </w:style>
  <w:style w:type="paragraph" w:styleId="22">
    <w:name w:val="footer"/>
    <w:basedOn w:val="1"/>
    <w:link w:val="55"/>
    <w:unhideWhenUsed/>
    <w:qFormat/>
    <w:uiPriority w:val="99"/>
    <w:pPr>
      <w:tabs>
        <w:tab w:val="center" w:pos="4153"/>
        <w:tab w:val="right" w:pos="8306"/>
      </w:tabs>
      <w:snapToGrid w:val="0"/>
      <w:jc w:val="left"/>
    </w:pPr>
    <w:rPr>
      <w:kern w:val="0"/>
      <w:sz w:val="18"/>
      <w:szCs w:val="18"/>
    </w:rPr>
  </w:style>
  <w:style w:type="paragraph" w:styleId="23">
    <w:name w:val="header"/>
    <w:basedOn w:val="1"/>
    <w:link w:val="5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24">
    <w:name w:val="toc 1"/>
    <w:basedOn w:val="1"/>
    <w:next w:val="1"/>
    <w:unhideWhenUsed/>
    <w:qFormat/>
    <w:uiPriority w:val="39"/>
  </w:style>
  <w:style w:type="paragraph" w:styleId="25">
    <w:name w:val="List"/>
    <w:basedOn w:val="1"/>
    <w:unhideWhenUsed/>
    <w:qFormat/>
    <w:uiPriority w:val="99"/>
    <w:pPr>
      <w:ind w:left="200" w:hanging="200" w:hangingChars="200"/>
      <w:contextualSpacing/>
    </w:pPr>
  </w:style>
  <w:style w:type="paragraph" w:styleId="26">
    <w:name w:val="toc 2"/>
    <w:basedOn w:val="1"/>
    <w:next w:val="1"/>
    <w:unhideWhenUsed/>
    <w:qFormat/>
    <w:uiPriority w:val="39"/>
    <w:pPr>
      <w:tabs>
        <w:tab w:val="right" w:leader="dot" w:pos="8296"/>
      </w:tabs>
      <w:ind w:left="420" w:leftChars="200"/>
    </w:pPr>
  </w:style>
  <w:style w:type="paragraph" w:styleId="27">
    <w:name w:val="Normal (Web)"/>
    <w:basedOn w:val="1"/>
    <w:unhideWhenUsed/>
    <w:qFormat/>
    <w:uiPriority w:val="99"/>
    <w:rPr>
      <w:rFonts w:ascii="Calibri" w:hAnsi="Calibri"/>
      <w:kern w:val="0"/>
      <w:sz w:val="24"/>
    </w:rPr>
  </w:style>
  <w:style w:type="paragraph" w:styleId="28">
    <w:name w:val="annotation subject"/>
    <w:basedOn w:val="14"/>
    <w:next w:val="1"/>
    <w:link w:val="43"/>
    <w:qFormat/>
    <w:uiPriority w:val="99"/>
    <w:rPr>
      <w:b/>
      <w:bCs/>
    </w:rPr>
  </w:style>
  <w:style w:type="paragraph" w:styleId="29">
    <w:name w:val="Body Text First Indent"/>
    <w:basedOn w:val="2"/>
    <w:qFormat/>
    <w:uiPriority w:val="0"/>
    <w:pPr>
      <w:ind w:firstLine="420" w:firstLineChars="100"/>
    </w:pPr>
  </w:style>
  <w:style w:type="paragraph" w:styleId="30">
    <w:name w:val="Body Text First Indent 2"/>
    <w:basedOn w:val="16"/>
    <w:link w:val="44"/>
    <w:qFormat/>
    <w:uiPriority w:val="99"/>
    <w:pPr>
      <w:autoSpaceDE w:val="0"/>
      <w:autoSpaceDN w:val="0"/>
      <w:spacing w:after="120" w:line="360" w:lineRule="auto"/>
      <w:ind w:left="420" w:leftChars="200" w:firstLine="420" w:firstLineChars="200"/>
    </w:pPr>
    <w:rPr>
      <w:sz w:val="21"/>
      <w:szCs w:val="24"/>
    </w:rPr>
  </w:style>
  <w:style w:type="table" w:styleId="32">
    <w:name w:val="Table Grid"/>
    <w:basedOn w:val="3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endnote reference"/>
    <w:unhideWhenUsed/>
    <w:qFormat/>
    <w:uiPriority w:val="99"/>
    <w:rPr>
      <w:vertAlign w:val="superscript"/>
    </w:rPr>
  </w:style>
  <w:style w:type="character" w:styleId="35">
    <w:name w:val="page number"/>
    <w:qFormat/>
    <w:uiPriority w:val="0"/>
  </w:style>
  <w:style w:type="character" w:styleId="36">
    <w:name w:val="FollowedHyperlink"/>
    <w:unhideWhenUsed/>
    <w:qFormat/>
    <w:uiPriority w:val="99"/>
    <w:rPr>
      <w:color w:val="800080"/>
      <w:u w:val="single"/>
    </w:rPr>
  </w:style>
  <w:style w:type="character" w:styleId="37">
    <w:name w:val="Emphasis"/>
    <w:basedOn w:val="33"/>
    <w:qFormat/>
    <w:uiPriority w:val="20"/>
    <w:rPr>
      <w:i/>
    </w:rPr>
  </w:style>
  <w:style w:type="character" w:styleId="38">
    <w:name w:val="Hyperlink"/>
    <w:unhideWhenUsed/>
    <w:qFormat/>
    <w:uiPriority w:val="99"/>
    <w:rPr>
      <w:color w:val="0000FF"/>
      <w:u w:val="single"/>
    </w:rPr>
  </w:style>
  <w:style w:type="character" w:styleId="39">
    <w:name w:val="annotation reference"/>
    <w:qFormat/>
    <w:uiPriority w:val="99"/>
    <w:rPr>
      <w:sz w:val="21"/>
      <w:szCs w:val="21"/>
    </w:rPr>
  </w:style>
  <w:style w:type="paragraph" w:customStyle="1" w:styleId="40">
    <w:name w:val="Heading2"/>
    <w:basedOn w:val="1"/>
    <w:next w:val="1"/>
    <w:qFormat/>
    <w:uiPriority w:val="0"/>
    <w:pPr>
      <w:keepNext/>
      <w:keepLines/>
      <w:spacing w:before="260" w:after="260" w:line="416" w:lineRule="auto"/>
    </w:pPr>
    <w:rPr>
      <w:rFonts w:ascii="Arial" w:hAnsi="Arial" w:eastAsia="黑体"/>
      <w:b/>
      <w:bCs/>
      <w:kern w:val="0"/>
      <w:sz w:val="32"/>
      <w:szCs w:val="32"/>
    </w:rPr>
  </w:style>
  <w:style w:type="character" w:customStyle="1" w:styleId="41">
    <w:name w:val="正文文本缩进 Char"/>
    <w:link w:val="16"/>
    <w:qFormat/>
    <w:uiPriority w:val="99"/>
    <w:rPr>
      <w:rFonts w:ascii="仿宋_GB2312" w:hAnsi="Times New Roman" w:eastAsia="仿宋_GB2312" w:cs="Times New Roman"/>
      <w:sz w:val="32"/>
      <w:szCs w:val="20"/>
    </w:rPr>
  </w:style>
  <w:style w:type="character" w:customStyle="1" w:styleId="42">
    <w:name w:val="批注文字 Char1"/>
    <w:link w:val="14"/>
    <w:qFormat/>
    <w:uiPriority w:val="99"/>
    <w:rPr>
      <w:rFonts w:ascii="Times New Roman" w:hAnsi="Times New Roman"/>
      <w:kern w:val="2"/>
      <w:sz w:val="21"/>
      <w:szCs w:val="24"/>
    </w:rPr>
  </w:style>
  <w:style w:type="character" w:customStyle="1" w:styleId="43">
    <w:name w:val="批注主题 Char"/>
    <w:link w:val="28"/>
    <w:qFormat/>
    <w:uiPriority w:val="99"/>
    <w:rPr>
      <w:rFonts w:ascii="Times New Roman" w:hAnsi="Times New Roman"/>
      <w:b/>
      <w:bCs/>
      <w:kern w:val="2"/>
      <w:sz w:val="21"/>
      <w:szCs w:val="24"/>
    </w:rPr>
  </w:style>
  <w:style w:type="character" w:customStyle="1" w:styleId="44">
    <w:name w:val="正文首行缩进 2 Char"/>
    <w:link w:val="30"/>
    <w:qFormat/>
    <w:uiPriority w:val="99"/>
    <w:rPr>
      <w:kern w:val="2"/>
      <w:sz w:val="21"/>
      <w:szCs w:val="24"/>
    </w:rPr>
  </w:style>
  <w:style w:type="character" w:customStyle="1" w:styleId="45">
    <w:name w:val="标题 1 Char"/>
    <w:link w:val="3"/>
    <w:qFormat/>
    <w:uiPriority w:val="99"/>
    <w:rPr>
      <w:b/>
      <w:bCs/>
      <w:kern w:val="44"/>
      <w:sz w:val="44"/>
      <w:szCs w:val="44"/>
    </w:rPr>
  </w:style>
  <w:style w:type="character" w:customStyle="1" w:styleId="46">
    <w:name w:val="标题 2 Char1"/>
    <w:link w:val="4"/>
    <w:qFormat/>
    <w:uiPriority w:val="9"/>
    <w:rPr>
      <w:rFonts w:ascii="Cambria" w:hAnsi="Cambria" w:eastAsia="宋体" w:cs="Times New Roman"/>
      <w:b/>
      <w:bCs/>
      <w:kern w:val="2"/>
      <w:sz w:val="32"/>
      <w:szCs w:val="32"/>
    </w:rPr>
  </w:style>
  <w:style w:type="character" w:customStyle="1" w:styleId="47">
    <w:name w:val="标题 3 Char"/>
    <w:link w:val="5"/>
    <w:qFormat/>
    <w:uiPriority w:val="99"/>
    <w:rPr>
      <w:b/>
      <w:bCs/>
      <w:kern w:val="2"/>
      <w:sz w:val="32"/>
      <w:szCs w:val="32"/>
    </w:rPr>
  </w:style>
  <w:style w:type="character" w:customStyle="1" w:styleId="48">
    <w:name w:val="标题 4 Char"/>
    <w:link w:val="6"/>
    <w:qFormat/>
    <w:uiPriority w:val="9"/>
    <w:rPr>
      <w:rFonts w:ascii="Arial" w:hAnsi="Arial" w:eastAsia="黑体"/>
      <w:b/>
      <w:kern w:val="2"/>
      <w:sz w:val="28"/>
      <w:szCs w:val="24"/>
    </w:rPr>
  </w:style>
  <w:style w:type="character" w:customStyle="1" w:styleId="49">
    <w:name w:val="标题 5 Char"/>
    <w:link w:val="7"/>
    <w:qFormat/>
    <w:uiPriority w:val="9"/>
    <w:rPr>
      <w:rFonts w:ascii="Times New Roman" w:hAnsi="Times New Roman"/>
      <w:b/>
      <w:bCs/>
      <w:kern w:val="2"/>
      <w:sz w:val="28"/>
      <w:szCs w:val="28"/>
    </w:rPr>
  </w:style>
  <w:style w:type="character" w:customStyle="1" w:styleId="50">
    <w:name w:val="标题 8 Char1"/>
    <w:link w:val="9"/>
    <w:semiHidden/>
    <w:qFormat/>
    <w:uiPriority w:val="9"/>
    <w:rPr>
      <w:rFonts w:ascii="等线 Light" w:hAnsi="等线 Light" w:eastAsia="等线 Light" w:cs="Times New Roman"/>
      <w:kern w:val="2"/>
      <w:sz w:val="24"/>
      <w:szCs w:val="24"/>
    </w:rPr>
  </w:style>
  <w:style w:type="character" w:customStyle="1" w:styleId="51">
    <w:name w:val="正文文本 3 Char"/>
    <w:link w:val="15"/>
    <w:semiHidden/>
    <w:qFormat/>
    <w:uiPriority w:val="99"/>
    <w:rPr>
      <w:kern w:val="2"/>
      <w:sz w:val="16"/>
      <w:szCs w:val="16"/>
    </w:rPr>
  </w:style>
  <w:style w:type="character" w:customStyle="1" w:styleId="52">
    <w:name w:val="正文文本 Char1"/>
    <w:link w:val="2"/>
    <w:qFormat/>
    <w:uiPriority w:val="0"/>
    <w:rPr>
      <w:rFonts w:ascii="Times New Roman" w:hAnsi="Times New Roman"/>
      <w:kern w:val="2"/>
      <w:sz w:val="21"/>
      <w:szCs w:val="24"/>
    </w:rPr>
  </w:style>
  <w:style w:type="character" w:customStyle="1" w:styleId="53">
    <w:name w:val="纯文本 Char1"/>
    <w:link w:val="19"/>
    <w:qFormat/>
    <w:uiPriority w:val="0"/>
    <w:rPr>
      <w:rFonts w:ascii="宋体" w:hAnsi="Courier New" w:eastAsia="宋体" w:cs="Courier New"/>
      <w:szCs w:val="21"/>
    </w:rPr>
  </w:style>
  <w:style w:type="character" w:customStyle="1" w:styleId="54">
    <w:name w:val="日期 Char"/>
    <w:link w:val="20"/>
    <w:semiHidden/>
    <w:qFormat/>
    <w:uiPriority w:val="99"/>
    <w:rPr>
      <w:rFonts w:ascii="Times New Roman" w:hAnsi="Times New Roman"/>
      <w:kern w:val="2"/>
      <w:sz w:val="21"/>
      <w:szCs w:val="24"/>
    </w:rPr>
  </w:style>
  <w:style w:type="character" w:customStyle="1" w:styleId="55">
    <w:name w:val="页脚 Char"/>
    <w:link w:val="22"/>
    <w:qFormat/>
    <w:uiPriority w:val="99"/>
    <w:rPr>
      <w:sz w:val="18"/>
      <w:szCs w:val="18"/>
    </w:rPr>
  </w:style>
  <w:style w:type="character" w:customStyle="1" w:styleId="56">
    <w:name w:val="页眉 Char"/>
    <w:link w:val="23"/>
    <w:qFormat/>
    <w:uiPriority w:val="99"/>
    <w:rPr>
      <w:sz w:val="18"/>
      <w:szCs w:val="18"/>
    </w:rPr>
  </w:style>
  <w:style w:type="character" w:customStyle="1" w:styleId="57">
    <w:name w:val="textcontents"/>
    <w:qFormat/>
    <w:uiPriority w:val="0"/>
  </w:style>
  <w:style w:type="character" w:customStyle="1" w:styleId="58">
    <w:name w:val="标题 2 Char"/>
    <w:qFormat/>
    <w:uiPriority w:val="99"/>
    <w:rPr>
      <w:rFonts w:ascii="Cambria" w:hAnsi="Cambria" w:eastAsia="宋体" w:cs="Times New Roman"/>
      <w:b/>
      <w:bCs/>
      <w:kern w:val="2"/>
      <w:sz w:val="32"/>
      <w:szCs w:val="32"/>
    </w:rPr>
  </w:style>
  <w:style w:type="character" w:customStyle="1" w:styleId="5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0">
    <w:name w:val="纯文本 字符2"/>
    <w:qFormat/>
    <w:uiPriority w:val="0"/>
    <w:rPr>
      <w:rFonts w:ascii="宋体" w:hAnsi="Courier New" w:eastAsia="宋体" w:cs="Courier New"/>
      <w:szCs w:val="21"/>
    </w:rPr>
  </w:style>
  <w:style w:type="character" w:customStyle="1" w:styleId="61">
    <w:name w:val="正文文本 字符"/>
    <w:qFormat/>
    <w:uiPriority w:val="0"/>
    <w:rPr>
      <w:rFonts w:ascii="Times New Roman" w:hAnsi="Times New Roman"/>
      <w:kern w:val="2"/>
      <w:sz w:val="21"/>
      <w:szCs w:val="24"/>
    </w:rPr>
  </w:style>
  <w:style w:type="character" w:customStyle="1" w:styleId="62">
    <w:name w:val="批注文字 字符1"/>
    <w:qFormat/>
    <w:uiPriority w:val="0"/>
    <w:rPr>
      <w:rFonts w:ascii="Times New Roman" w:hAnsi="Times New Roman"/>
      <w:kern w:val="2"/>
      <w:sz w:val="21"/>
      <w:szCs w:val="24"/>
    </w:rPr>
  </w:style>
  <w:style w:type="character" w:customStyle="1" w:styleId="63">
    <w:name w:val="正文文本 Char"/>
    <w:qFormat/>
    <w:uiPriority w:val="99"/>
    <w:rPr>
      <w:rFonts w:ascii="Times New Roman" w:hAnsi="Times New Roman"/>
      <w:kern w:val="2"/>
      <w:sz w:val="21"/>
      <w:szCs w:val="24"/>
    </w:rPr>
  </w:style>
  <w:style w:type="character" w:customStyle="1" w:styleId="64">
    <w:name w:val="纯文本 字符"/>
    <w:qFormat/>
    <w:uiPriority w:val="0"/>
    <w:rPr>
      <w:rFonts w:ascii="宋体" w:hAnsi="Courier New" w:eastAsia="宋体" w:cs="Courier New"/>
      <w:szCs w:val="21"/>
    </w:rPr>
  </w:style>
  <w:style w:type="character" w:customStyle="1" w:styleId="65">
    <w:name w:val="标题 1 字符1"/>
    <w:qFormat/>
    <w:uiPriority w:val="0"/>
    <w:rPr>
      <w:b/>
      <w:bCs/>
      <w:kern w:val="44"/>
      <w:sz w:val="44"/>
      <w:szCs w:val="44"/>
    </w:rPr>
  </w:style>
  <w:style w:type="character" w:customStyle="1" w:styleId="66">
    <w:name w:val="正文2 Char Char"/>
    <w:link w:val="67"/>
    <w:qFormat/>
    <w:uiPriority w:val="0"/>
    <w:rPr>
      <w:sz w:val="24"/>
    </w:rPr>
  </w:style>
  <w:style w:type="paragraph" w:customStyle="1" w:styleId="67">
    <w:name w:val="正文2"/>
    <w:basedOn w:val="1"/>
    <w:link w:val="66"/>
    <w:qFormat/>
    <w:uiPriority w:val="0"/>
    <w:pPr>
      <w:adjustRightInd w:val="0"/>
      <w:spacing w:before="156" w:line="360" w:lineRule="auto"/>
      <w:ind w:firstLine="510" w:firstLineChars="200"/>
    </w:pPr>
    <w:rPr>
      <w:kern w:val="0"/>
      <w:sz w:val="24"/>
      <w:szCs w:val="20"/>
    </w:rPr>
  </w:style>
  <w:style w:type="character" w:customStyle="1" w:styleId="68">
    <w:name w:val="标题 8 Char"/>
    <w:qFormat/>
    <w:uiPriority w:val="0"/>
    <w:rPr>
      <w:rFonts w:ascii="Arial" w:hAnsi="Arial" w:eastAsia="黑体"/>
      <w:kern w:val="2"/>
      <w:sz w:val="24"/>
      <w:szCs w:val="24"/>
    </w:rPr>
  </w:style>
  <w:style w:type="character" w:customStyle="1" w:styleId="69">
    <w:name w:val="纯文本 Char"/>
    <w:qFormat/>
    <w:uiPriority w:val="99"/>
    <w:rPr>
      <w:rFonts w:ascii="宋体" w:hAnsi="Courier New" w:eastAsia="宋体" w:cs="Courier New"/>
      <w:szCs w:val="21"/>
    </w:rPr>
  </w:style>
  <w:style w:type="character" w:customStyle="1" w:styleId="70">
    <w:name w:val="批注文字 Char"/>
    <w:qFormat/>
    <w:uiPriority w:val="99"/>
    <w:rPr>
      <w:rFonts w:ascii="Times New Roman" w:hAnsi="Times New Roman"/>
      <w:kern w:val="2"/>
      <w:sz w:val="21"/>
      <w:szCs w:val="24"/>
    </w:rPr>
  </w:style>
  <w:style w:type="character" w:customStyle="1" w:styleId="71">
    <w:name w:val="纯文本 字符1"/>
    <w:qFormat/>
    <w:uiPriority w:val="0"/>
    <w:rPr>
      <w:rFonts w:ascii="宋体" w:hAnsi="Courier New"/>
    </w:rPr>
  </w:style>
  <w:style w:type="character" w:customStyle="1" w:styleId="72">
    <w:name w:val="未处理的提及"/>
    <w:unhideWhenUsed/>
    <w:qFormat/>
    <w:uiPriority w:val="99"/>
    <w:rPr>
      <w:color w:val="605E5C"/>
      <w:shd w:val="clear" w:color="auto" w:fill="E1DFDD"/>
    </w:rPr>
  </w:style>
  <w:style w:type="character" w:customStyle="1" w:styleId="73">
    <w:name w:val="apple-style-span"/>
    <w:qFormat/>
    <w:uiPriority w:val="0"/>
  </w:style>
  <w:style w:type="character" w:customStyle="1" w:styleId="74">
    <w:name w:val="批注文字 字符"/>
    <w:qFormat/>
    <w:uiPriority w:val="0"/>
    <w:rPr>
      <w:rFonts w:ascii="Times New Roman" w:hAnsi="Times New Roman"/>
      <w:kern w:val="2"/>
      <w:sz w:val="21"/>
      <w:szCs w:val="24"/>
    </w:rPr>
  </w:style>
  <w:style w:type="paragraph" w:customStyle="1" w:styleId="75">
    <w:name w:val="正文 A"/>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customStyle="1" w:styleId="76">
    <w:name w:val="表头"/>
    <w:basedOn w:val="1"/>
    <w:qFormat/>
    <w:uiPriority w:val="0"/>
    <w:pPr>
      <w:widowControl/>
      <w:jc w:val="center"/>
    </w:pPr>
    <w:rPr>
      <w:rFonts w:ascii="仿宋_GB2312" w:hAnsi="宋体" w:eastAsia="仿宋_GB2312" w:cs="等线"/>
      <w:b/>
      <w:bCs/>
      <w:kern w:val="0"/>
      <w:sz w:val="24"/>
    </w:rPr>
  </w:style>
  <w:style w:type="paragraph" w:customStyle="1" w:styleId="77">
    <w:name w:val="TOC 标题1"/>
    <w:basedOn w:val="3"/>
    <w:next w:val="1"/>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78">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80">
    <w:name w:val="Char Char Char Char"/>
    <w:basedOn w:val="1"/>
    <w:qFormat/>
    <w:uiPriority w:val="0"/>
    <w:pPr>
      <w:widowControl/>
      <w:spacing w:after="160" w:line="240" w:lineRule="exact"/>
      <w:jc w:val="left"/>
    </w:pPr>
  </w:style>
  <w:style w:type="paragraph" w:customStyle="1" w:styleId="81">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82">
    <w:name w:val="列出段落3"/>
    <w:basedOn w:val="1"/>
    <w:unhideWhenUsed/>
    <w:qFormat/>
    <w:uiPriority w:val="99"/>
    <w:pPr>
      <w:ind w:firstLine="420"/>
    </w:pPr>
  </w:style>
  <w:style w:type="paragraph" w:customStyle="1" w:styleId="83">
    <w:name w:val="Table Paragraph"/>
    <w:basedOn w:val="1"/>
    <w:qFormat/>
    <w:uiPriority w:val="1"/>
    <w:pPr>
      <w:jc w:val="left"/>
    </w:pPr>
    <w:rPr>
      <w:rFonts w:ascii="Calibri" w:hAnsi="Calibri"/>
      <w:kern w:val="0"/>
      <w:sz w:val="22"/>
      <w:szCs w:val="22"/>
      <w:lang w:eastAsia="en-US"/>
    </w:rPr>
  </w:style>
  <w:style w:type="paragraph" w:customStyle="1" w:styleId="84">
    <w:name w:val="列出段落2"/>
    <w:basedOn w:val="1"/>
    <w:unhideWhenUsed/>
    <w:qFormat/>
    <w:uiPriority w:val="99"/>
    <w:pPr>
      <w:spacing w:line="360" w:lineRule="auto"/>
      <w:ind w:firstLine="420" w:firstLineChars="200"/>
    </w:pPr>
    <w:rPr>
      <w:rFonts w:ascii="Calibri" w:hAnsi="Calibri" w:eastAsia="仿宋"/>
      <w:sz w:val="28"/>
      <w:szCs w:val="22"/>
    </w:rPr>
  </w:style>
  <w:style w:type="paragraph" w:customStyle="1" w:styleId="85">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86">
    <w:name w:val="表格内容"/>
    <w:basedOn w:val="1"/>
    <w:qFormat/>
    <w:uiPriority w:val="0"/>
    <w:pPr>
      <w:widowControl/>
      <w:jc w:val="left"/>
    </w:pPr>
    <w:rPr>
      <w:rFonts w:ascii="仿宋_GB2312" w:hAnsi="宋体" w:cs="等线"/>
      <w:kern w:val="0"/>
      <w:sz w:val="24"/>
    </w:rPr>
  </w:style>
  <w:style w:type="paragraph" w:styleId="87">
    <w:name w:val="List Paragraph"/>
    <w:basedOn w:val="1"/>
    <w:qFormat/>
    <w:uiPriority w:val="34"/>
    <w:pPr>
      <w:ind w:firstLine="420" w:firstLineChars="200"/>
    </w:pPr>
  </w:style>
  <w:style w:type="paragraph" w:customStyle="1" w:styleId="88">
    <w:name w:val="默认段落字体 Para Char Char Char Char Char Char Char Char Char1 Char Char Char Char"/>
    <w:basedOn w:val="1"/>
    <w:qFormat/>
    <w:uiPriority w:val="0"/>
    <w:rPr>
      <w:rFonts w:ascii="Tahoma" w:hAnsi="Tahoma"/>
      <w:sz w:val="24"/>
      <w:szCs w:val="20"/>
    </w:rPr>
  </w:style>
  <w:style w:type="paragraph" w:customStyle="1" w:styleId="89">
    <w:name w:val="正文缩进1"/>
    <w:basedOn w:val="1"/>
    <w:next w:val="16"/>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0">
    <w:name w:val="正文-2字符首行缩进"/>
    <w:basedOn w:val="1"/>
    <w:qFormat/>
    <w:uiPriority w:val="0"/>
    <w:pPr>
      <w:spacing w:line="360" w:lineRule="auto"/>
      <w:ind w:firstLine="200" w:firstLineChars="200"/>
    </w:pPr>
    <w:rPr>
      <w:rFonts w:ascii="仿宋_GB2312" w:hAnsi="宋体" w:eastAsia="仿宋_GB2312"/>
      <w:sz w:val="28"/>
      <w:szCs w:val="22"/>
    </w:rPr>
  </w:style>
  <w:style w:type="paragraph" w:customStyle="1" w:styleId="91">
    <w:name w:val="样式1"/>
    <w:basedOn w:val="1"/>
    <w:qFormat/>
    <w:uiPriority w:val="0"/>
    <w:pPr>
      <w:numPr>
        <w:ilvl w:val="2"/>
        <w:numId w:val="1"/>
      </w:numPr>
    </w:pPr>
  </w:style>
  <w:style w:type="paragraph" w:customStyle="1" w:styleId="92">
    <w:name w:val="样式 0正文 + 首行缩进:  2 字符1"/>
    <w:qFormat/>
    <w:uiPriority w:val="99"/>
    <w:pPr>
      <w:widowControl w:val="0"/>
      <w:spacing w:line="360" w:lineRule="auto"/>
      <w:ind w:firstLine="200" w:firstLineChars="200"/>
      <w:jc w:val="both"/>
    </w:pPr>
    <w:rPr>
      <w:rFonts w:ascii="Times New Roman" w:hAnsi="Times New Roman" w:eastAsia="宋体" w:cs="Times New Roman"/>
      <w:kern w:val="2"/>
      <w:sz w:val="21"/>
      <w:lang w:val="en-US" w:eastAsia="zh-CN" w:bidi="ar-SA"/>
    </w:rPr>
  </w:style>
  <w:style w:type="paragraph" w:customStyle="1" w:styleId="93">
    <w:name w:val="正文首行缩进两字"/>
    <w:qFormat/>
    <w:uiPriority w:val="0"/>
    <w:pPr>
      <w:widowControl w:val="0"/>
      <w:spacing w:line="360" w:lineRule="auto"/>
      <w:ind w:right="245"/>
      <w:jc w:val="center"/>
    </w:pPr>
    <w:rPr>
      <w:rFonts w:ascii="Arial" w:hAnsi="Arial" w:eastAsia="宋体" w:cs="Arial"/>
      <w:bCs/>
      <w:sz w:val="24"/>
      <w:szCs w:val="24"/>
      <w:lang w:val="en-US" w:eastAsia="zh-CN" w:bidi="ar-SA"/>
    </w:rPr>
  </w:style>
  <w:style w:type="paragraph" w:customStyle="1" w:styleId="9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95">
    <w:name w:val="列出段落1"/>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广西云龙招标有限公司</Company>
  <Pages>74</Pages>
  <Words>31559</Words>
  <Characters>33679</Characters>
  <Lines>94</Lines>
  <Paragraphs>110</Paragraphs>
  <TotalTime>17</TotalTime>
  <ScaleCrop>false</ScaleCrop>
  <LinksUpToDate>false</LinksUpToDate>
  <CharactersWithSpaces>35211</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2023-11-02T16:20:00Z</dcterms:created>
  <dc:creator>唐冰</dc:creator>
  <cp:lastModifiedBy>gxxc</cp:lastModifiedBy>
  <cp:lastPrinted>2021-08-27T10:26:00Z</cp:lastPrinted>
  <dcterms:modified xsi:type="dcterms:W3CDTF">2025-04-14T09:08:46Z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AA89F97CA3084EE09BEC05B16630B829_13</vt:lpwstr>
  </property>
  <property fmtid="{D5CDD505-2E9C-101B-9397-08002B2CF9AE}" pid="4" name="KSOTemplateDocerSaveRecord">
    <vt:lpwstr>eyJoZGlkIjoiM2FhMWQ1NDdlMDcwOGY2MmQzMWI1ODZiZGZkNzJkY2IiLCJ1c2VySWQiOiIzMzI3NDAyNDMifQ==</vt:lpwstr>
  </property>
</Properties>
</file>