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center"/>
        <w:rPr>
          <w:rFonts w:hint="eastAsia" w:ascii="华文新魏" w:hAnsi="宋体" w:eastAsia="华文新魏"/>
          <w:color w:val="auto"/>
          <w:sz w:val="72"/>
          <w:szCs w:val="72"/>
          <w:highlight w:val="none"/>
        </w:rPr>
      </w:pPr>
    </w:p>
    <w:p>
      <w:pPr>
        <w:snapToGrid w:val="0"/>
        <w:spacing w:before="156" w:beforeLines="50" w:line="360" w:lineRule="auto"/>
        <w:jc w:val="center"/>
        <w:rPr>
          <w:rFonts w:hint="eastAsia" w:ascii="华文新魏" w:hAnsi="宋体" w:eastAsia="华文新魏"/>
          <w:color w:val="auto"/>
          <w:sz w:val="72"/>
          <w:szCs w:val="72"/>
          <w:highlight w:val="none"/>
        </w:rPr>
      </w:pPr>
    </w:p>
    <w:p>
      <w:pPr>
        <w:snapToGrid w:val="0"/>
        <w:spacing w:before="156" w:beforeLines="50" w:line="360" w:lineRule="auto"/>
        <w:jc w:val="center"/>
        <w:rPr>
          <w:rFonts w:hint="eastAsia"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pPr>
        <w:spacing w:line="360" w:lineRule="auto"/>
        <w:rPr>
          <w:rFonts w:hint="eastAsia" w:ascii="宋体" w:hAnsi="宋体"/>
          <w:b/>
          <w:color w:val="auto"/>
          <w:sz w:val="32"/>
          <w:szCs w:val="32"/>
          <w:highlight w:val="none"/>
        </w:rPr>
      </w:pPr>
    </w:p>
    <w:p>
      <w:pPr>
        <w:pStyle w:val="54"/>
        <w:rPr>
          <w:rFonts w:hint="eastAsia"/>
          <w:color w:val="auto"/>
          <w:highlight w:val="none"/>
        </w:rPr>
      </w:pPr>
    </w:p>
    <w:p>
      <w:pPr>
        <w:pStyle w:val="54"/>
        <w:rPr>
          <w:rFonts w:hint="eastAsia"/>
          <w:color w:val="auto"/>
          <w:highlight w:val="none"/>
        </w:rPr>
      </w:pPr>
    </w:p>
    <w:p>
      <w:pPr>
        <w:spacing w:line="360" w:lineRule="auto"/>
        <w:jc w:val="center"/>
        <w:rPr>
          <w:rFonts w:hint="eastAsia" w:ascii="宋体" w:hAnsi="宋体"/>
          <w:b/>
          <w:color w:val="auto"/>
          <w:sz w:val="32"/>
          <w:szCs w:val="32"/>
          <w:highlight w:val="none"/>
        </w:rPr>
      </w:pPr>
    </w:p>
    <w:p>
      <w:pPr>
        <w:pStyle w:val="54"/>
        <w:rPr>
          <w:rFonts w:hint="eastAsia" w:ascii="宋体" w:hAnsi="宋体"/>
          <w:b/>
          <w:color w:val="auto"/>
          <w:sz w:val="32"/>
          <w:szCs w:val="32"/>
          <w:highlight w:val="none"/>
        </w:rPr>
      </w:pPr>
    </w:p>
    <w:p>
      <w:pPr>
        <w:pStyle w:val="54"/>
        <w:rPr>
          <w:rFonts w:hint="eastAsia" w:ascii="宋体" w:hAnsi="宋体"/>
          <w:b/>
          <w:color w:val="auto"/>
          <w:sz w:val="32"/>
          <w:szCs w:val="32"/>
          <w:highlight w:val="none"/>
        </w:rPr>
      </w:pPr>
    </w:p>
    <w:p>
      <w:pPr>
        <w:pStyle w:val="54"/>
        <w:rPr>
          <w:rFonts w:hint="eastAsia" w:ascii="宋体" w:hAnsi="宋体"/>
          <w:b/>
          <w:color w:val="auto"/>
          <w:sz w:val="32"/>
          <w:szCs w:val="32"/>
          <w:highlight w:val="none"/>
        </w:rPr>
      </w:pPr>
    </w:p>
    <w:p>
      <w:pPr>
        <w:pStyle w:val="54"/>
        <w:rPr>
          <w:rFonts w:hint="eastAsia" w:ascii="宋体" w:hAnsi="宋体"/>
          <w:b/>
          <w:color w:val="auto"/>
          <w:sz w:val="32"/>
          <w:szCs w:val="32"/>
          <w:highlight w:val="none"/>
        </w:rPr>
      </w:pPr>
    </w:p>
    <w:p>
      <w:pPr>
        <w:spacing w:line="360" w:lineRule="auto"/>
        <w:ind w:firstLine="642"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项目名称：重点敏感案件监测及法律服务项目</w:t>
      </w:r>
    </w:p>
    <w:p>
      <w:pPr>
        <w:spacing w:line="360" w:lineRule="auto"/>
        <w:ind w:firstLine="642"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项目编号：GXZC2025-C3-000322-GXGL</w:t>
      </w:r>
    </w:p>
    <w:p>
      <w:pPr>
        <w:spacing w:line="360" w:lineRule="auto"/>
        <w:ind w:firstLine="642"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采 购 人：广西壮族自治区林业局</w:t>
      </w:r>
    </w:p>
    <w:p>
      <w:pPr>
        <w:spacing w:line="360" w:lineRule="auto"/>
        <w:ind w:firstLine="642"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采购代理机构：广西国立工程咨询有限公司</w:t>
      </w:r>
    </w:p>
    <w:p>
      <w:pPr>
        <w:spacing w:line="360" w:lineRule="auto"/>
        <w:ind w:firstLine="642" w:firstLineChars="200"/>
        <w:rPr>
          <w:rFonts w:hint="eastAsia" w:ascii="宋体" w:hAnsi="宋体" w:cs="宋体"/>
          <w:b/>
          <w:color w:val="auto"/>
          <w:sz w:val="32"/>
          <w:szCs w:val="32"/>
          <w:highlight w:val="none"/>
        </w:rPr>
      </w:pPr>
      <w:r>
        <w:rPr>
          <w:rFonts w:hint="eastAsia" w:ascii="宋体" w:hAnsi="宋体" w:cs="宋体"/>
          <w:b/>
          <w:color w:val="auto"/>
          <w:sz w:val="32"/>
          <w:szCs w:val="32"/>
          <w:highlight w:val="none"/>
        </w:rPr>
        <w:t>日期：2025年3月</w:t>
      </w:r>
    </w:p>
    <w:p>
      <w:pPr>
        <w:spacing w:line="360" w:lineRule="auto"/>
        <w:jc w:val="center"/>
        <w:rPr>
          <w:rFonts w:hint="eastAsia" w:ascii="宋体" w:hAnsi="宋体"/>
          <w:b/>
          <w:color w:val="auto"/>
          <w:sz w:val="44"/>
          <w:szCs w:val="44"/>
          <w:highlight w:val="none"/>
        </w:rPr>
      </w:pPr>
      <w:r>
        <w:rPr>
          <w:rFonts w:ascii="仿宋_GB2312" w:hAnsi="宋体" w:eastAsia="仿宋_GB2312"/>
          <w:b/>
          <w:color w:val="auto"/>
          <w:sz w:val="32"/>
          <w:szCs w:val="32"/>
          <w:highlight w:val="none"/>
        </w:rPr>
        <w:br w:type="page"/>
      </w:r>
      <w:r>
        <w:rPr>
          <w:rFonts w:hint="eastAsia" w:ascii="宋体" w:hAnsi="宋体"/>
          <w:b/>
          <w:color w:val="auto"/>
          <w:sz w:val="44"/>
          <w:szCs w:val="44"/>
          <w:highlight w:val="none"/>
        </w:rPr>
        <w:t>目   录</w:t>
      </w:r>
    </w:p>
    <w:p>
      <w:pPr>
        <w:spacing w:line="480" w:lineRule="auto"/>
        <w:jc w:val="center"/>
        <w:rPr>
          <w:rFonts w:hint="eastAsia" w:ascii="宋体" w:hAnsi="宋体"/>
          <w:b/>
          <w:color w:val="auto"/>
          <w:sz w:val="44"/>
          <w:szCs w:val="44"/>
          <w:highlight w:val="none"/>
        </w:rPr>
      </w:pPr>
    </w:p>
    <w:p>
      <w:pPr>
        <w:pStyle w:val="28"/>
        <w:tabs>
          <w:tab w:val="right" w:leader="dot" w:pos="9072"/>
          <w:tab w:val="clear" w:pos="8296"/>
        </w:tabs>
        <w:spacing w:line="480" w:lineRule="auto"/>
        <w:rPr>
          <w:color w:val="auto"/>
          <w:highlight w:val="none"/>
        </w:rPr>
      </w:pPr>
      <w:r>
        <w:rPr>
          <w:rFonts w:hint="eastAsia" w:ascii="宋体" w:hAnsi="宋体" w:cs="宋体"/>
          <w:b/>
          <w:color w:val="auto"/>
          <w:szCs w:val="21"/>
          <w:highlight w:val="none"/>
        </w:rPr>
        <w:fldChar w:fldCharType="begin"/>
      </w:r>
      <w:r>
        <w:rPr>
          <w:rFonts w:hint="eastAsia" w:ascii="宋体" w:hAnsi="宋体" w:cs="宋体"/>
          <w:b/>
          <w:color w:val="auto"/>
          <w:szCs w:val="21"/>
          <w:highlight w:val="none"/>
        </w:rPr>
        <w:instrText xml:space="preserve"> TOC \o "1-3" \h \z \u </w:instrText>
      </w:r>
      <w:r>
        <w:rPr>
          <w:rFonts w:hint="eastAsia" w:ascii="宋体" w:hAnsi="宋体" w:cs="宋体"/>
          <w:b/>
          <w:color w:val="auto"/>
          <w:szCs w:val="21"/>
          <w:highlight w:val="none"/>
        </w:rPr>
        <w:fldChar w:fldCharType="separate"/>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_Toc21184 </w:instrText>
      </w:r>
      <w:r>
        <w:rPr>
          <w:rFonts w:hint="eastAsia" w:ascii="宋体" w:hAnsi="宋体" w:cs="宋体"/>
          <w:color w:val="auto"/>
          <w:szCs w:val="21"/>
          <w:highlight w:val="none"/>
        </w:rPr>
        <w:fldChar w:fldCharType="separate"/>
      </w:r>
      <w:r>
        <w:rPr>
          <w:rFonts w:hint="eastAsia"/>
          <w:color w:val="auto"/>
          <w:highlight w:val="none"/>
        </w:rPr>
        <w:t>第一章 竞争性磋商公告</w:t>
      </w:r>
      <w:r>
        <w:rPr>
          <w:color w:val="auto"/>
          <w:highlight w:val="none"/>
        </w:rPr>
        <w:tab/>
      </w:r>
      <w:r>
        <w:rPr>
          <w:color w:val="auto"/>
          <w:highlight w:val="none"/>
        </w:rPr>
        <w:fldChar w:fldCharType="begin"/>
      </w:r>
      <w:r>
        <w:rPr>
          <w:color w:val="auto"/>
          <w:highlight w:val="none"/>
        </w:rPr>
        <w:instrText xml:space="preserve"> PAGEREF _Toc21184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cs="宋体"/>
          <w:color w:val="auto"/>
          <w:szCs w:val="21"/>
          <w:highlight w:val="none"/>
        </w:rPr>
        <w:fldChar w:fldCharType="end"/>
      </w:r>
    </w:p>
    <w:p>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_Toc25427 </w:instrText>
      </w:r>
      <w:r>
        <w:rPr>
          <w:rFonts w:hint="eastAsia" w:ascii="宋体" w:hAnsi="宋体" w:cs="宋体"/>
          <w:color w:val="auto"/>
          <w:szCs w:val="21"/>
          <w:highlight w:val="none"/>
        </w:rPr>
        <w:fldChar w:fldCharType="separate"/>
      </w:r>
      <w:r>
        <w:rPr>
          <w:rFonts w:hint="eastAsia"/>
          <w:color w:val="auto"/>
          <w:highlight w:val="none"/>
        </w:rPr>
        <w:t>第二章 供应商须知</w:t>
      </w:r>
      <w:r>
        <w:rPr>
          <w:color w:val="auto"/>
          <w:highlight w:val="none"/>
        </w:rPr>
        <w:tab/>
      </w:r>
      <w:r>
        <w:rPr>
          <w:color w:val="auto"/>
          <w:highlight w:val="none"/>
        </w:rPr>
        <w:fldChar w:fldCharType="begin"/>
      </w:r>
      <w:r>
        <w:rPr>
          <w:color w:val="auto"/>
          <w:highlight w:val="none"/>
        </w:rPr>
        <w:instrText xml:space="preserve"> PAGEREF _Toc25427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cs="宋体"/>
          <w:color w:val="auto"/>
          <w:szCs w:val="21"/>
          <w:highlight w:val="none"/>
        </w:rPr>
        <w:fldChar w:fldCharType="end"/>
      </w:r>
    </w:p>
    <w:p>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_Toc25141 </w:instrText>
      </w:r>
      <w:r>
        <w:rPr>
          <w:rFonts w:hint="eastAsia" w:ascii="宋体" w:hAnsi="宋体" w:cs="宋体"/>
          <w:color w:val="auto"/>
          <w:szCs w:val="21"/>
          <w:highlight w:val="none"/>
        </w:rPr>
        <w:fldChar w:fldCharType="separate"/>
      </w:r>
      <w:r>
        <w:rPr>
          <w:rFonts w:hint="eastAsia"/>
          <w:color w:val="auto"/>
          <w:highlight w:val="none"/>
        </w:rPr>
        <w:t>第三章 采购需求</w:t>
      </w:r>
      <w:r>
        <w:rPr>
          <w:color w:val="auto"/>
          <w:highlight w:val="none"/>
        </w:rPr>
        <w:tab/>
      </w:r>
      <w:r>
        <w:rPr>
          <w:color w:val="auto"/>
          <w:highlight w:val="none"/>
        </w:rPr>
        <w:fldChar w:fldCharType="begin"/>
      </w:r>
      <w:r>
        <w:rPr>
          <w:color w:val="auto"/>
          <w:highlight w:val="none"/>
        </w:rPr>
        <w:instrText xml:space="preserve"> PAGEREF _Toc25141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olor w:val="auto"/>
          <w:szCs w:val="21"/>
          <w:highlight w:val="none"/>
        </w:rPr>
        <w:fldChar w:fldCharType="end"/>
      </w:r>
    </w:p>
    <w:p>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_Toc18575 </w:instrText>
      </w:r>
      <w:r>
        <w:rPr>
          <w:rFonts w:hint="eastAsia" w:ascii="宋体" w:hAnsi="宋体" w:cs="宋体"/>
          <w:color w:val="auto"/>
          <w:szCs w:val="21"/>
          <w:highlight w:val="none"/>
        </w:rPr>
        <w:fldChar w:fldCharType="separate"/>
      </w:r>
      <w:r>
        <w:rPr>
          <w:rFonts w:hint="eastAsia"/>
          <w:color w:val="auto"/>
          <w:highlight w:val="none"/>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_Toc18575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szCs w:val="21"/>
          <w:highlight w:val="none"/>
        </w:rPr>
        <w:fldChar w:fldCharType="end"/>
      </w:r>
    </w:p>
    <w:p>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_Toc3469 </w:instrText>
      </w:r>
      <w:r>
        <w:rPr>
          <w:rFonts w:hint="eastAsia" w:ascii="宋体" w:hAnsi="宋体" w:cs="宋体"/>
          <w:color w:val="auto"/>
          <w:szCs w:val="21"/>
          <w:highlight w:val="none"/>
        </w:rPr>
        <w:fldChar w:fldCharType="separate"/>
      </w:r>
      <w:r>
        <w:rPr>
          <w:rFonts w:hint="eastAsia"/>
          <w:color w:val="auto"/>
          <w:highlight w:val="none"/>
        </w:rPr>
        <w:t>第五章 响应文件格式</w:t>
      </w:r>
      <w:r>
        <w:rPr>
          <w:color w:val="auto"/>
          <w:highlight w:val="none"/>
        </w:rPr>
        <w:tab/>
      </w:r>
      <w:r>
        <w:rPr>
          <w:color w:val="auto"/>
          <w:highlight w:val="none"/>
        </w:rPr>
        <w:fldChar w:fldCharType="begin"/>
      </w:r>
      <w:r>
        <w:rPr>
          <w:color w:val="auto"/>
          <w:highlight w:val="none"/>
        </w:rPr>
        <w:instrText xml:space="preserve"> PAGEREF _Toc3469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olor w:val="auto"/>
          <w:szCs w:val="21"/>
          <w:highlight w:val="none"/>
        </w:rPr>
        <w:fldChar w:fldCharType="end"/>
      </w:r>
    </w:p>
    <w:p>
      <w:pPr>
        <w:pStyle w:val="28"/>
        <w:tabs>
          <w:tab w:val="right" w:leader="dot" w:pos="9072"/>
          <w:tab w:val="clear" w:pos="8296"/>
        </w:tabs>
        <w:spacing w:line="480" w:lineRule="auto"/>
        <w:rPr>
          <w:color w:val="auto"/>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\l _Toc27041 </w:instrText>
      </w:r>
      <w:r>
        <w:rPr>
          <w:rFonts w:hint="eastAsia" w:ascii="宋体" w:hAnsi="宋体" w:cs="宋体"/>
          <w:color w:val="auto"/>
          <w:szCs w:val="21"/>
          <w:highlight w:val="none"/>
        </w:rPr>
        <w:fldChar w:fldCharType="separate"/>
      </w:r>
      <w:r>
        <w:rPr>
          <w:rFonts w:hint="eastAsia"/>
          <w:color w:val="auto"/>
          <w:szCs w:val="28"/>
          <w:highlight w:val="none"/>
        </w:rPr>
        <w:t>第六章 合同文本</w:t>
      </w:r>
      <w:r>
        <w:rPr>
          <w:color w:val="auto"/>
          <w:highlight w:val="none"/>
        </w:rPr>
        <w:tab/>
      </w:r>
      <w:r>
        <w:rPr>
          <w:color w:val="auto"/>
          <w:highlight w:val="none"/>
        </w:rPr>
        <w:fldChar w:fldCharType="begin"/>
      </w:r>
      <w:r>
        <w:rPr>
          <w:color w:val="auto"/>
          <w:highlight w:val="none"/>
        </w:rPr>
        <w:instrText xml:space="preserve"> PAGEREF _Toc27041 \h </w:instrText>
      </w:r>
      <w:r>
        <w:rPr>
          <w:color w:val="auto"/>
          <w:highlight w:val="none"/>
        </w:rPr>
        <w:fldChar w:fldCharType="separate"/>
      </w:r>
      <w:r>
        <w:rPr>
          <w:color w:val="auto"/>
          <w:highlight w:val="none"/>
        </w:rPr>
        <w:t>61</w:t>
      </w:r>
      <w:r>
        <w:rPr>
          <w:color w:val="auto"/>
          <w:highlight w:val="none"/>
        </w:rPr>
        <w:fldChar w:fldCharType="end"/>
      </w:r>
      <w:r>
        <w:rPr>
          <w:rFonts w:hint="eastAsia" w:ascii="宋体" w:hAnsi="宋体" w:cs="宋体"/>
          <w:color w:val="auto"/>
          <w:szCs w:val="21"/>
          <w:highlight w:val="none"/>
        </w:rPr>
        <w:fldChar w:fldCharType="end"/>
      </w:r>
    </w:p>
    <w:p>
      <w:pPr>
        <w:pStyle w:val="28"/>
        <w:spacing w:line="480" w:lineRule="auto"/>
        <w:rPr>
          <w:rFonts w:hint="eastAsia"/>
          <w:color w:val="auto"/>
          <w:sz w:val="28"/>
          <w:szCs w:val="28"/>
          <w:highlight w:val="none"/>
        </w:rPr>
      </w:pPr>
      <w:r>
        <w:rPr>
          <w:rFonts w:hint="eastAsia" w:ascii="宋体" w:hAnsi="宋体" w:cs="宋体"/>
          <w:b/>
          <w:color w:val="auto"/>
          <w:szCs w:val="21"/>
          <w:highlight w:val="none"/>
        </w:rPr>
        <w:fldChar w:fldCharType="end"/>
      </w:r>
    </w:p>
    <w:p>
      <w:pPr>
        <w:spacing w:line="400" w:lineRule="exact"/>
        <w:jc w:val="left"/>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jc w:val="center"/>
        <w:rPr>
          <w:rFonts w:hint="eastAsia" w:ascii="宋体" w:hAnsi="宋体"/>
          <w:b/>
          <w:color w:val="auto"/>
          <w:sz w:val="32"/>
          <w:szCs w:val="32"/>
          <w:highlight w:val="none"/>
        </w:rPr>
      </w:pPr>
    </w:p>
    <w:p>
      <w:pPr>
        <w:spacing w:line="400" w:lineRule="exact"/>
        <w:rPr>
          <w:rFonts w:hint="eastAsia" w:ascii="宋体" w:hAnsi="宋体"/>
          <w:b/>
          <w:color w:val="auto"/>
          <w:sz w:val="32"/>
          <w:szCs w:val="32"/>
          <w:highlight w:val="none"/>
        </w:rPr>
        <w:sectPr>
          <w:headerReference r:id="rId4" w:type="first"/>
          <w:headerReference r:id="rId3" w:type="default"/>
          <w:pgSz w:w="11906" w:h="16838"/>
          <w:pgMar w:top="1417" w:right="1417" w:bottom="1417" w:left="1417" w:header="851" w:footer="132" w:gutter="0"/>
          <w:cols w:space="720" w:num="1"/>
          <w:titlePg/>
          <w:docGrid w:type="lines" w:linePitch="312" w:charSpace="0"/>
        </w:sectPr>
      </w:pPr>
    </w:p>
    <w:p>
      <w:pPr>
        <w:pStyle w:val="4"/>
        <w:jc w:val="center"/>
        <w:rPr>
          <w:rFonts w:hint="eastAsia"/>
          <w:color w:val="auto"/>
          <w:highlight w:val="none"/>
        </w:rPr>
      </w:pPr>
      <w:bookmarkStart w:id="0" w:name="_Toc18481"/>
      <w:bookmarkStart w:id="1" w:name="_Toc28043"/>
      <w:bookmarkStart w:id="2" w:name="_Toc3854"/>
      <w:bookmarkStart w:id="3" w:name="_Toc7196"/>
      <w:bookmarkStart w:id="4" w:name="_Toc21184"/>
      <w:bookmarkStart w:id="5" w:name="_Toc18649"/>
      <w:bookmarkStart w:id="6" w:name="_Toc44229877"/>
      <w:bookmarkStart w:id="7" w:name="_Toc16436"/>
      <w:bookmarkStart w:id="8" w:name="_Toc3808"/>
      <w:bookmarkStart w:id="9" w:name="_Toc681"/>
      <w:bookmarkStart w:id="10" w:name="_Toc15330"/>
      <w:bookmarkStart w:id="11" w:name="_Toc26059"/>
      <w:bookmarkStart w:id="12" w:name="_Toc13909"/>
      <w:bookmarkStart w:id="13" w:name="_Toc27788"/>
      <w:bookmarkStart w:id="14" w:name="_Toc27975"/>
      <w:bookmarkStart w:id="15" w:name="_Toc29666"/>
      <w:bookmarkStart w:id="16" w:name="_Toc7590"/>
      <w:r>
        <w:rPr>
          <w:rFonts w:hint="eastAsia"/>
          <w:color w:val="auto"/>
          <w:highlight w:val="none"/>
        </w:rPr>
        <w:t>第一章 竞争性磋商公告</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5" w:type="dxa"/>
            <w:noWrap w:val="0"/>
            <w:vAlign w:val="top"/>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项目概况</w:t>
            </w:r>
          </w:p>
          <w:p>
            <w:pPr>
              <w:pStyle w:val="54"/>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u w:val="single"/>
              </w:rPr>
              <w:t>重点敏感案件监测及法律服务项目</w:t>
            </w:r>
            <w:r>
              <w:rPr>
                <w:rFonts w:hint="eastAsia" w:ascii="宋体" w:hAnsi="宋体" w:cs="宋体"/>
                <w:color w:val="auto"/>
                <w:highlight w:val="none"/>
              </w:rPr>
              <w:t>的潜在供应商应在广西政府采购云平台（网址：</w:t>
            </w: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"http://www.zcygov.cn）获取竞争性磋商文件，并于2023年" </w:instrText>
            </w:r>
            <w:r>
              <w:rPr>
                <w:rFonts w:hint="eastAsia" w:ascii="宋体" w:hAnsi="宋体" w:cs="宋体"/>
                <w:color w:val="auto"/>
                <w:highlight w:val="none"/>
              </w:rPr>
              <w:fldChar w:fldCharType="separate"/>
            </w:r>
            <w:r>
              <w:rPr>
                <w:rFonts w:hint="eastAsia" w:ascii="宋体" w:hAnsi="宋体" w:cs="宋体"/>
                <w:color w:val="auto"/>
                <w:highlight w:val="none"/>
              </w:rPr>
              <w:t>https://www.gcy.zfcg.gxzf.gov.cn/）获取采购文件，并于</w:t>
            </w:r>
            <w:r>
              <w:rPr>
                <w:rFonts w:hint="eastAsia" w:ascii="宋体" w:hAnsi="宋体" w:cs="宋体"/>
                <w:color w:val="auto"/>
                <w:highlight w:val="none"/>
                <w:u w:val="single"/>
              </w:rPr>
              <w:t>2025年</w:t>
            </w:r>
            <w:r>
              <w:rPr>
                <w:rFonts w:hint="eastAsia" w:ascii="宋体" w:hAnsi="宋体" w:cs="宋体"/>
                <w:color w:val="auto"/>
                <w:highlight w:val="none"/>
              </w:rPr>
              <w:fldChar w:fldCharType="end"/>
            </w:r>
            <w:r>
              <w:rPr>
                <w:rFonts w:hint="eastAsia" w:ascii="宋体" w:hAnsi="宋体" w:cs="宋体"/>
                <w:color w:val="auto"/>
                <w:highlight w:val="none"/>
                <w:lang w:val="en-US" w:eastAsia="zh-CN"/>
              </w:rPr>
              <w:t>3</w:t>
            </w:r>
            <w:r>
              <w:rPr>
                <w:rFonts w:hint="eastAsia" w:ascii="宋体" w:hAnsi="宋体" w:cs="宋体"/>
                <w:bCs/>
                <w:color w:val="auto"/>
                <w:highlight w:val="none"/>
                <w:u w:val="single"/>
              </w:rPr>
              <w:t>月</w:t>
            </w:r>
            <w:r>
              <w:rPr>
                <w:rFonts w:hint="eastAsia" w:ascii="宋体" w:hAnsi="宋体" w:cs="宋体"/>
                <w:bCs/>
                <w:color w:val="auto"/>
                <w:highlight w:val="none"/>
                <w:u w:val="single"/>
                <w:lang w:val="en-US" w:eastAsia="zh-CN"/>
              </w:rPr>
              <w:t>24</w:t>
            </w:r>
            <w:r>
              <w:rPr>
                <w:rFonts w:hint="eastAsia" w:ascii="宋体" w:hAnsi="宋体" w:cs="宋体"/>
                <w:bCs/>
                <w:color w:val="auto"/>
                <w:highlight w:val="none"/>
                <w:u w:val="single"/>
              </w:rPr>
              <w:t>日</w:t>
            </w:r>
            <w:r>
              <w:rPr>
                <w:rFonts w:hint="eastAsia" w:ascii="宋体" w:hAnsi="宋体" w:cs="宋体"/>
                <w:bCs/>
                <w:color w:val="auto"/>
                <w:highlight w:val="none"/>
                <w:u w:val="single"/>
                <w:lang w:val="en-US" w:eastAsia="zh-CN"/>
              </w:rPr>
              <w:t>14</w:t>
            </w:r>
            <w:r>
              <w:rPr>
                <w:rFonts w:hint="eastAsia" w:ascii="宋体" w:hAnsi="宋体" w:cs="宋体"/>
                <w:bCs/>
                <w:color w:val="auto"/>
                <w:highlight w:val="none"/>
                <w:u w:val="single"/>
              </w:rPr>
              <w:t>：30</w:t>
            </w:r>
            <w:r>
              <w:rPr>
                <w:rFonts w:hint="eastAsia" w:ascii="宋体" w:hAnsi="宋体" w:cs="宋体"/>
                <w:bCs/>
                <w:color w:val="auto"/>
                <w:highlight w:val="none"/>
              </w:rPr>
              <w:t>（北京时间）前提交响应文件</w:t>
            </w:r>
            <w:r>
              <w:rPr>
                <w:rFonts w:hint="eastAsia" w:ascii="宋体" w:hAnsi="宋体" w:cs="宋体"/>
                <w:color w:val="auto"/>
                <w:highlight w:val="none"/>
              </w:rPr>
              <w:t>。</w:t>
            </w:r>
          </w:p>
        </w:tc>
      </w:tr>
    </w:tbl>
    <w:p>
      <w:pPr>
        <w:spacing w:line="440" w:lineRule="exact"/>
        <w:rPr>
          <w:rFonts w:hint="eastAsia"/>
          <w:b/>
          <w:bCs/>
          <w:color w:val="auto"/>
          <w:highlight w:val="none"/>
        </w:rPr>
      </w:pPr>
      <w:bookmarkStart w:id="17" w:name="_Toc35393629"/>
      <w:bookmarkStart w:id="18" w:name="_Toc28359012"/>
      <w:bookmarkStart w:id="19" w:name="_Toc35393798"/>
      <w:bookmarkStart w:id="20" w:name="_Toc44229878"/>
      <w:bookmarkStart w:id="21" w:name="_Toc28359089"/>
      <w:bookmarkStart w:id="22" w:name="_Hlk37430271"/>
      <w:r>
        <w:rPr>
          <w:rFonts w:hint="eastAsia"/>
          <w:b/>
          <w:bCs/>
          <w:color w:val="auto"/>
          <w:highlight w:val="none"/>
        </w:rPr>
        <w:t>一、项目基本情况</w:t>
      </w:r>
      <w:bookmarkEnd w:id="17"/>
      <w:bookmarkEnd w:id="18"/>
      <w:bookmarkEnd w:id="19"/>
      <w:bookmarkEnd w:id="20"/>
      <w:bookmarkEnd w:id="21"/>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项目编号：GXZC2025-C3-000322-GXGL</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项目名称：重点敏感案件监测及法律服务项目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采购方式：竞争性磋商</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预算总金额（元）：</w:t>
      </w:r>
      <w:r>
        <w:rPr>
          <w:rFonts w:hint="eastAsia" w:ascii="宋体" w:hAnsi="宋体" w:cs="宋体"/>
          <w:color w:val="auto"/>
          <w:highlight w:val="none"/>
        </w:rPr>
        <w:t>1500000.00</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标项名称：重点敏感案件监测及法律服务项目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数量：不限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预算金额（元）：1500000.00</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对全区各县（市、区）年度涉林违法重大案件进行动态监测，监测案件查处进度和整改复绿情况。提供法律相关的服务，对重大决策提供法律论证、合法性审查意见；对重要的地方立法项目和规范性文件进行研究、出具合法性审查意见；协助处理重大涉法事件，起草有关法律文书和法律意见书；参与重大、疑难信访案件的处理。</w:t>
      </w:r>
      <w:r>
        <w:rPr>
          <w:rFonts w:hint="eastAsia" w:ascii="宋体" w:hAnsi="宋体"/>
          <w:color w:val="auto"/>
          <w:highlight w:val="none"/>
        </w:rPr>
        <w:t>具体详见</w:t>
      </w:r>
      <w:r>
        <w:rPr>
          <w:rFonts w:hint="eastAsia" w:ascii="宋体" w:hAnsi="宋体" w:cs="宋体"/>
          <w:color w:val="auto"/>
          <w:szCs w:val="21"/>
          <w:highlight w:val="none"/>
        </w:rPr>
        <w:t>竞争性磋商文件。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最高限价（如有）：1500000.00元</w:t>
      </w:r>
    </w:p>
    <w:p>
      <w:pPr>
        <w:spacing w:line="360" w:lineRule="auto"/>
        <w:ind w:firstLine="420" w:firstLineChars="200"/>
        <w:rPr>
          <w:rFonts w:hint="eastAsia" w:ascii="宋体" w:hAnsi="宋体" w:cs="宋体"/>
          <w:color w:val="auto"/>
          <w:szCs w:val="21"/>
          <w:highlight w:val="none"/>
        </w:rPr>
      </w:pPr>
      <w:bookmarkStart w:id="23" w:name="_Toc35393799"/>
      <w:bookmarkStart w:id="24" w:name="_Toc28359090"/>
      <w:bookmarkStart w:id="25" w:name="_Toc28359013"/>
      <w:bookmarkStart w:id="26" w:name="_Toc44229879"/>
      <w:bookmarkStart w:id="27" w:name="_Toc35393630"/>
      <w:r>
        <w:rPr>
          <w:rFonts w:hint="eastAsia" w:ascii="宋体" w:hAnsi="宋体" w:cs="宋体"/>
          <w:color w:val="auto"/>
          <w:szCs w:val="21"/>
          <w:highlight w:val="none"/>
        </w:rPr>
        <w:t>合同履约期限：</w:t>
      </w:r>
      <w:r>
        <w:rPr>
          <w:rFonts w:hint="eastAsia" w:ascii="宋体" w:hAnsi="宋体"/>
          <w:color w:val="auto"/>
          <w:highlight w:val="none"/>
        </w:rPr>
        <w:t>具体详见</w:t>
      </w:r>
      <w:r>
        <w:rPr>
          <w:rFonts w:hint="eastAsia" w:ascii="宋体" w:hAnsi="宋体" w:cs="宋体"/>
          <w:color w:val="auto"/>
          <w:szCs w:val="21"/>
          <w:highlight w:val="none"/>
        </w:rPr>
        <w:t>竞争性磋商文件。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本标项（否）接受联合体投标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备注</w:t>
      </w:r>
      <w:r>
        <w:rPr>
          <w:rFonts w:hint="eastAsia"/>
          <w:color w:val="auto"/>
          <w:highlight w:val="none"/>
        </w:rPr>
        <w:t>：/</w:t>
      </w:r>
    </w:p>
    <w:p>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二、</w:t>
      </w:r>
      <w:bookmarkEnd w:id="23"/>
      <w:bookmarkEnd w:id="24"/>
      <w:bookmarkEnd w:id="25"/>
      <w:bookmarkEnd w:id="26"/>
      <w:bookmarkEnd w:id="27"/>
      <w:r>
        <w:rPr>
          <w:rStyle w:val="35"/>
          <w:rFonts w:hint="eastAsia" w:ascii="宋体" w:hAnsi="宋体" w:cs="宋体"/>
          <w:color w:val="auto"/>
          <w:szCs w:val="21"/>
          <w:highlight w:val="none"/>
        </w:rPr>
        <w:t>申请人的资格要求</w:t>
      </w:r>
    </w:p>
    <w:p>
      <w:pPr>
        <w:spacing w:line="440" w:lineRule="exact"/>
        <w:ind w:firstLine="420" w:firstLineChars="200"/>
        <w:rPr>
          <w:rFonts w:hint="eastAsia" w:ascii="宋体" w:hAnsi="宋体" w:cs="宋体"/>
          <w:color w:val="auto"/>
          <w:szCs w:val="21"/>
          <w:highlight w:val="none"/>
        </w:rPr>
      </w:pPr>
      <w:bookmarkStart w:id="28" w:name="_Toc28359014"/>
      <w:bookmarkStart w:id="29" w:name="_Toc28359091"/>
      <w:bookmarkStart w:id="30" w:name="_Toc35393800"/>
      <w:bookmarkStart w:id="31" w:name="_Toc44229880"/>
      <w:bookmarkStart w:id="32" w:name="_Toc35393631"/>
      <w:r>
        <w:rPr>
          <w:rFonts w:hint="eastAsia" w:ascii="宋体" w:hAnsi="宋体" w:cs="宋体"/>
          <w:color w:val="auto"/>
          <w:szCs w:val="21"/>
          <w:highlight w:val="none"/>
        </w:rPr>
        <w:t>1.满足《中华人民共和国政府采购法》第二十二条规定；</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b/>
          <w:bCs/>
          <w:color w:val="auto"/>
          <w:szCs w:val="21"/>
          <w:highlight w:val="none"/>
        </w:rPr>
        <w:t>本项目属于专门面向</w:t>
      </w:r>
      <w:r>
        <w:rPr>
          <w:rFonts w:hint="eastAsia" w:ascii="宋体" w:hAnsi="宋体"/>
          <w:b/>
          <w:bCs/>
          <w:color w:val="auto"/>
          <w:szCs w:val="21"/>
          <w:highlight w:val="none"/>
          <w:lang w:val="en-US" w:eastAsia="zh-CN"/>
        </w:rPr>
        <w:t>中</w:t>
      </w:r>
      <w:r>
        <w:rPr>
          <w:rFonts w:hint="eastAsia" w:ascii="宋体" w:hAnsi="宋体"/>
          <w:b/>
          <w:bCs/>
          <w:color w:val="auto"/>
          <w:szCs w:val="21"/>
          <w:highlight w:val="none"/>
        </w:rPr>
        <w:t>小微企业采购的项目,供应商应为</w:t>
      </w:r>
      <w:r>
        <w:rPr>
          <w:rFonts w:hint="eastAsia" w:ascii="宋体" w:hAnsi="宋体"/>
          <w:b/>
          <w:bCs/>
          <w:color w:val="auto"/>
          <w:szCs w:val="21"/>
          <w:highlight w:val="none"/>
          <w:lang w:val="en-US" w:eastAsia="zh-CN"/>
        </w:rPr>
        <w:t>中</w:t>
      </w:r>
      <w:r>
        <w:rPr>
          <w:rFonts w:hint="eastAsia" w:ascii="宋体" w:hAnsi="宋体"/>
          <w:b/>
          <w:bCs/>
          <w:color w:val="auto"/>
          <w:szCs w:val="21"/>
          <w:highlight w:val="none"/>
        </w:rPr>
        <w:t>小微企业（或监狱企业或残疾人福利性单位）。</w:t>
      </w:r>
    </w:p>
    <w:p>
      <w:pPr>
        <w:spacing w:line="44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无。</w:t>
      </w:r>
    </w:p>
    <w:p>
      <w:pPr>
        <w:spacing w:line="440" w:lineRule="exact"/>
        <w:rPr>
          <w:rFonts w:hint="eastAsia" w:ascii="宋体" w:hAnsi="宋体" w:cs="宋体"/>
          <w:b/>
          <w:bCs/>
          <w:color w:val="auto"/>
          <w:szCs w:val="21"/>
          <w:highlight w:val="none"/>
        </w:rPr>
      </w:pPr>
      <w:r>
        <w:rPr>
          <w:rFonts w:hint="eastAsia" w:ascii="宋体" w:hAnsi="宋体" w:cs="宋体"/>
          <w:b/>
          <w:bCs/>
          <w:color w:val="auto"/>
          <w:szCs w:val="21"/>
          <w:highlight w:val="none"/>
        </w:rPr>
        <w:t>三、</w:t>
      </w:r>
      <w:bookmarkEnd w:id="28"/>
      <w:bookmarkEnd w:id="29"/>
      <w:bookmarkEnd w:id="30"/>
      <w:bookmarkEnd w:id="31"/>
      <w:bookmarkEnd w:id="32"/>
      <w:r>
        <w:rPr>
          <w:rStyle w:val="35"/>
          <w:rFonts w:hint="eastAsia" w:ascii="宋体" w:hAnsi="宋体" w:cs="宋体"/>
          <w:color w:val="auto"/>
          <w:szCs w:val="21"/>
          <w:highlight w:val="none"/>
        </w:rPr>
        <w:t>获取采购文件</w:t>
      </w:r>
    </w:p>
    <w:p>
      <w:pPr>
        <w:spacing w:line="44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13</w:t>
      </w:r>
      <w:r>
        <w:rPr>
          <w:rFonts w:hint="eastAsia" w:ascii="宋体" w:hAnsi="宋体" w:cs="宋体"/>
          <w:bCs/>
          <w:color w:val="auto"/>
          <w:kern w:val="0"/>
          <w:szCs w:val="21"/>
          <w:highlight w:val="none"/>
        </w:rPr>
        <w:t>日至2025</w:t>
      </w:r>
      <w:r>
        <w:rPr>
          <w:rFonts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20</w:t>
      </w:r>
      <w:r>
        <w:rPr>
          <w:rFonts w:hint="eastAsia" w:ascii="宋体" w:hAnsi="宋体" w:cs="宋体"/>
          <w:bCs/>
          <w:color w:val="auto"/>
          <w:kern w:val="0"/>
          <w:szCs w:val="21"/>
          <w:highlight w:val="none"/>
        </w:rPr>
        <w:t>日，每天上午00:00至12:00，下午12:00至23:59（北京时间，法定节假日除外）</w:t>
      </w:r>
    </w:p>
    <w:p>
      <w:pPr>
        <w:spacing w:line="44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color w:val="auto"/>
          <w:szCs w:val="21"/>
          <w:highlight w:val="none"/>
        </w:rPr>
        <w:t>（网址）：广西政府采购云平台（https://www.gcy.zfcg.gxzf.gov.cn/）</w:t>
      </w:r>
      <w:r>
        <w:rPr>
          <w:rFonts w:hint="eastAsia" w:ascii="宋体" w:hAnsi="宋体" w:cs="宋体"/>
          <w:bCs/>
          <w:color w:val="auto"/>
          <w:kern w:val="0"/>
          <w:szCs w:val="21"/>
          <w:highlight w:val="none"/>
        </w:rPr>
        <w:t>。</w:t>
      </w:r>
    </w:p>
    <w:p>
      <w:pPr>
        <w:spacing w:line="44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r>
        <w:rPr>
          <w:rFonts w:hint="eastAsia" w:ascii="宋体" w:hAnsi="宋体" w:cs="宋体"/>
          <w:color w:val="auto"/>
          <w:szCs w:val="21"/>
          <w:highlight w:val="none"/>
        </w:rPr>
        <w:t>供应商登录广西政府采购云平台https://www.gcy.zfcg.gxzf.gov.cn/在线申请获取采购文件（进入“项目采购”应用，在获取采购文件菜单中选择项目，申请获取采购文件）。</w:t>
      </w:r>
    </w:p>
    <w:p>
      <w:pPr>
        <w:spacing w:line="440" w:lineRule="exact"/>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售价：0元</w:t>
      </w:r>
      <w:r>
        <w:rPr>
          <w:rFonts w:hint="eastAsia" w:ascii="宋体" w:hAnsi="宋体" w:cs="宋体"/>
          <w:color w:val="auto"/>
          <w:szCs w:val="21"/>
          <w:highlight w:val="none"/>
        </w:rPr>
        <w:t>。</w:t>
      </w:r>
    </w:p>
    <w:p>
      <w:pPr>
        <w:spacing w:line="440" w:lineRule="exact"/>
        <w:rPr>
          <w:rFonts w:hint="eastAsia"/>
          <w:b/>
          <w:bCs/>
          <w:color w:val="auto"/>
          <w:highlight w:val="none"/>
        </w:rPr>
      </w:pPr>
      <w:bookmarkStart w:id="33" w:name="_Toc44229881"/>
      <w:bookmarkStart w:id="34" w:name="_Toc28359015"/>
      <w:bookmarkStart w:id="35" w:name="_Toc28359092"/>
      <w:bookmarkStart w:id="36" w:name="_Toc35393632"/>
      <w:bookmarkStart w:id="37" w:name="_Toc35393801"/>
      <w:r>
        <w:rPr>
          <w:rFonts w:hint="eastAsia"/>
          <w:b/>
          <w:bCs/>
          <w:color w:val="auto"/>
          <w:highlight w:val="none"/>
        </w:rPr>
        <w:t>四、响应文件提交</w:t>
      </w:r>
      <w:bookmarkEnd w:id="33"/>
      <w:bookmarkEnd w:id="34"/>
      <w:bookmarkEnd w:id="35"/>
      <w:bookmarkEnd w:id="36"/>
      <w:bookmarkEnd w:id="37"/>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截止时间：2025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bCs/>
          <w:color w:val="auto"/>
          <w:szCs w:val="21"/>
          <w:highlight w:val="none"/>
        </w:rPr>
        <w:t>：30</w:t>
      </w:r>
      <w:r>
        <w:rPr>
          <w:rFonts w:hint="eastAsia" w:ascii="宋体" w:hAnsi="宋体" w:cs="宋体"/>
          <w:color w:val="auto"/>
          <w:szCs w:val="21"/>
          <w:highlight w:val="none"/>
        </w:rPr>
        <w:t>（北京时间）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r>
        <w:rPr>
          <w:rFonts w:hint="eastAsia" w:ascii="宋体" w:hAnsi="宋体" w:cs="宋体"/>
          <w:color w:val="auto"/>
          <w:highlight w:val="none"/>
        </w:rPr>
        <w:t>。</w:t>
      </w:r>
    </w:p>
    <w:p>
      <w:pPr>
        <w:spacing w:line="440" w:lineRule="exact"/>
        <w:rPr>
          <w:rFonts w:hint="eastAsia"/>
          <w:b/>
          <w:bCs/>
          <w:color w:val="auto"/>
          <w:highlight w:val="none"/>
        </w:rPr>
      </w:pPr>
      <w:bookmarkStart w:id="38" w:name="_Toc28359093"/>
      <w:bookmarkStart w:id="39" w:name="_Toc35393633"/>
      <w:bookmarkStart w:id="40" w:name="_Toc28359016"/>
      <w:bookmarkStart w:id="41" w:name="_Toc35393802"/>
      <w:bookmarkStart w:id="42" w:name="_Toc44229882"/>
      <w:r>
        <w:rPr>
          <w:rFonts w:hint="eastAsia"/>
          <w:b/>
          <w:bCs/>
          <w:color w:val="auto"/>
          <w:highlight w:val="none"/>
        </w:rPr>
        <w:t>五、</w:t>
      </w:r>
      <w:bookmarkEnd w:id="38"/>
      <w:bookmarkEnd w:id="39"/>
      <w:bookmarkEnd w:id="40"/>
      <w:bookmarkEnd w:id="41"/>
      <w:bookmarkEnd w:id="42"/>
      <w:r>
        <w:rPr>
          <w:rFonts w:hint="eastAsia"/>
          <w:b/>
          <w:bCs/>
          <w:color w:val="auto"/>
          <w:highlight w:val="none"/>
        </w:rPr>
        <w:t>响应文件开启</w:t>
      </w:r>
    </w:p>
    <w:p>
      <w:pPr>
        <w:spacing w:line="440" w:lineRule="exact"/>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开启时间：2025</w:t>
      </w:r>
      <w:r>
        <w:rPr>
          <w:rFonts w:hint="eastAsia" w:ascii="宋体" w:hAnsi="宋体" w:cs="宋体"/>
          <w:bCs/>
          <w:color w:val="auto"/>
          <w:szCs w:val="21"/>
          <w:highlight w:val="none"/>
        </w:rPr>
        <w:t>年</w:t>
      </w:r>
      <w:r>
        <w:rPr>
          <w:rFonts w:hint="eastAsia" w:ascii="宋体" w:hAnsi="宋体" w:cs="宋体"/>
          <w:bCs/>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bCs/>
          <w:color w:val="auto"/>
          <w:szCs w:val="21"/>
          <w:highlight w:val="none"/>
        </w:rPr>
        <w:t>：30（北京时间）</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地点：广西政府采购云平台电子开标大厅。</w:t>
      </w:r>
    </w:p>
    <w:p>
      <w:pPr>
        <w:spacing w:line="440" w:lineRule="exact"/>
        <w:rPr>
          <w:rFonts w:hint="eastAsia"/>
          <w:b/>
          <w:bCs/>
          <w:color w:val="auto"/>
          <w:highlight w:val="none"/>
        </w:rPr>
      </w:pPr>
      <w:bookmarkStart w:id="43" w:name="_Toc35393803"/>
      <w:bookmarkStart w:id="44" w:name="_Toc28359094"/>
      <w:bookmarkStart w:id="45" w:name="_Toc35393634"/>
      <w:bookmarkStart w:id="46" w:name="_Toc28359017"/>
      <w:bookmarkStart w:id="47" w:name="_Toc44229883"/>
      <w:r>
        <w:rPr>
          <w:rFonts w:hint="eastAsia"/>
          <w:b/>
          <w:bCs/>
          <w:color w:val="auto"/>
          <w:highlight w:val="none"/>
        </w:rPr>
        <w:t>六、公告期限</w:t>
      </w:r>
      <w:bookmarkEnd w:id="43"/>
      <w:bookmarkEnd w:id="44"/>
      <w:bookmarkEnd w:id="45"/>
      <w:bookmarkEnd w:id="46"/>
      <w:bookmarkEnd w:id="47"/>
    </w:p>
    <w:p>
      <w:pPr>
        <w:spacing w:line="4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440" w:lineRule="exact"/>
        <w:rPr>
          <w:rFonts w:hint="eastAsia"/>
          <w:b/>
          <w:bCs/>
          <w:color w:val="auto"/>
          <w:highlight w:val="none"/>
        </w:rPr>
      </w:pPr>
      <w:bookmarkStart w:id="48" w:name="_Toc44229884"/>
      <w:bookmarkStart w:id="49" w:name="_Toc35393804"/>
      <w:bookmarkStart w:id="50" w:name="_Toc35393635"/>
      <w:r>
        <w:rPr>
          <w:rFonts w:hint="eastAsia"/>
          <w:b/>
          <w:bCs/>
          <w:color w:val="auto"/>
          <w:highlight w:val="none"/>
        </w:rPr>
        <w:t>七、其他补充事宜</w:t>
      </w:r>
      <w:bookmarkEnd w:id="48"/>
      <w:bookmarkEnd w:id="49"/>
      <w:bookmarkEnd w:id="50"/>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1.投标保证金（人民币）：壹万伍仟元整（￥15000.00）</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2.投标保证金必须从投标人银行基本账户以转账形式转出，在投标截止时间前交到以下账户。</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开户名称：广西国立工程咨询有限公司桂林分公司</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开户银行：中信银行股份有限公司桂林分行</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银行账号：8113001014300209034</w:t>
      </w:r>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olor w:val="auto"/>
          <w:szCs w:val="21"/>
          <w:highlight w:val="none"/>
        </w:rPr>
        <w:t>注：①本项目不接受现金形式或从个人账户转出的磋商保证金。②凡未在规定时间内足额交纳或以其它方式交纳的磋商保证金均视为无效，其投标文件一律做无效投标处理。供应商应按上述要求交纳磋商保证金,并自行考虑到账时间，妥善安排磋商保证金交纳工作，确保按时到账。否则其投标文件无效。</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2.网上查询地址</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中国政府采购网（http://www.ccgp.gov.cn/）</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广西壮族自治区政府采购网（http://www.ccgp-guangxi.gov.cn/）</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3.</w:t>
      </w:r>
      <w:r>
        <w:rPr>
          <w:rFonts w:hint="eastAsia" w:ascii="宋体" w:hAnsi="宋体" w:cs="宋体"/>
          <w:color w:val="auto"/>
          <w:kern w:val="0"/>
          <w:szCs w:val="21"/>
          <w:highlight w:val="none"/>
        </w:rPr>
        <w:t>本项目需要落实的政府采购政策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（6）政府采购扶持不发达地区和少数民族地区政策。</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（7）其他政府采购规定的政策。</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资格条件特别说明：</w:t>
      </w:r>
    </w:p>
    <w:p>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p>
      <w:pPr>
        <w:widowControl/>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4.供应商竞标注意事项</w:t>
      </w:r>
    </w:p>
    <w:p>
      <w:pPr>
        <w:widowControl/>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w:t>
      </w:r>
      <w:r>
        <w:rPr>
          <w:rFonts w:hint="eastAsia"/>
          <w:color w:val="auto"/>
          <w:highlight w:val="none"/>
        </w:rPr>
        <w:t>后缀名为“jm</w:t>
      </w:r>
      <w:r>
        <w:rPr>
          <w:color w:val="auto"/>
          <w:highlight w:val="none"/>
        </w:rPr>
        <w:t>bs</w:t>
      </w:r>
      <w:r>
        <w:rPr>
          <w:rFonts w:hint="eastAsia"/>
          <w:color w:val="auto"/>
          <w:highlight w:val="none"/>
        </w:rPr>
        <w:t>”的文件</w:t>
      </w:r>
      <w:r>
        <w:rPr>
          <w:rFonts w:hint="eastAsia" w:ascii="宋体" w:hAnsi="宋体"/>
          <w:color w:val="auto"/>
          <w:szCs w:val="21"/>
          <w:highlight w:val="none"/>
        </w:rPr>
        <w:t>），</w:t>
      </w:r>
      <w:r>
        <w:rPr>
          <w:rFonts w:hint="eastAsia" w:ascii="宋体" w:hAnsi="宋体"/>
          <w:b/>
          <w:color w:val="auto"/>
          <w:szCs w:val="21"/>
          <w:highlight w:val="none"/>
        </w:rPr>
        <w:t>供应商在广西政府采购云平台提交电子响应文件时，请填写参加远程采购活动经办人联系方式。</w:t>
      </w:r>
      <w:r>
        <w:rPr>
          <w:rFonts w:hint="eastAsia" w:ascii="宋体" w:hAnsi="宋体"/>
          <w:color w:val="auto"/>
          <w:szCs w:val="21"/>
          <w:highlight w:val="none"/>
        </w:rPr>
        <w:t>供应商登录广西政府采购云平台，依次进入“服务中心-项目采购-操作流程-电子招投标-</w:t>
      </w:r>
      <w:r>
        <w:rPr>
          <w:rFonts w:hint="eastAsia"/>
          <w:color w:val="auto"/>
          <w:highlight w:val="none"/>
        </w:rPr>
        <w:t>政府采购项目电子交易管理操作指南</w:t>
      </w:r>
      <w:r>
        <w:rPr>
          <w:color w:val="auto"/>
          <w:highlight w:val="none"/>
        </w:rPr>
        <w:t>-</w:t>
      </w:r>
      <w:r>
        <w:rPr>
          <w:rFonts w:hint="eastAsia"/>
          <w:color w:val="auto"/>
          <w:highlight w:val="none"/>
        </w:rPr>
        <w:t>供应商</w:t>
      </w:r>
      <w:r>
        <w:rPr>
          <w:rFonts w:hint="eastAsia" w:ascii="宋体" w:hAnsi="宋体"/>
          <w:color w:val="auto"/>
          <w:szCs w:val="21"/>
          <w:highlight w:val="none"/>
        </w:rPr>
        <w:t>”查看电子竞标具体操作流程。</w:t>
      </w:r>
    </w:p>
    <w:p>
      <w:pPr>
        <w:widowControl/>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w:t>
      </w:r>
      <w:r>
        <w:rPr>
          <w:rFonts w:hint="eastAsia" w:ascii="宋体" w:hAnsi="宋体"/>
          <w:color w:val="auto"/>
          <w:szCs w:val="21"/>
          <w:highlight w:val="none"/>
          <w:lang w:eastAsia="zh-CN"/>
        </w:rPr>
        <w:t>登录</w:t>
      </w:r>
      <w:r>
        <w:rPr>
          <w:rFonts w:hint="eastAsia" w:ascii="宋体" w:hAnsi="宋体"/>
          <w:color w:val="auto"/>
          <w:szCs w:val="21"/>
          <w:highlight w:val="none"/>
        </w:rPr>
        <w:t>广西政府采购云平台</w:t>
      </w:r>
      <w:r>
        <w:rPr>
          <w:rFonts w:hint="eastAsia" w:ascii="宋体" w:hAnsi="宋体" w:cs="宋体"/>
          <w:color w:val="auto"/>
          <w:kern w:val="0"/>
          <w:szCs w:val="21"/>
          <w:highlight w:val="none"/>
        </w:rPr>
        <w:t>，</w:t>
      </w:r>
      <w:r>
        <w:rPr>
          <w:rFonts w:hint="eastAsia" w:ascii="宋体" w:hAnsi="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如在操作过程中遇到问题或者需要技术支持，请致电广西政府采购云平台客服热线：</w:t>
      </w:r>
      <w:r>
        <w:rPr>
          <w:rFonts w:hint="eastAsia" w:ascii="宋体" w:hAnsi="宋体" w:cs="宋体"/>
          <w:color w:val="auto"/>
          <w:szCs w:val="21"/>
          <w:highlight w:val="none"/>
        </w:rPr>
        <w:t>95763</w:t>
      </w:r>
      <w:r>
        <w:rPr>
          <w:rFonts w:hint="eastAsia" w:ascii="宋体" w:hAnsi="宋体"/>
          <w:color w:val="auto"/>
          <w:szCs w:val="21"/>
          <w:highlight w:val="none"/>
        </w:rPr>
        <w:t>）。</w:t>
      </w:r>
    </w:p>
    <w:p>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pPr>
        <w:widowControl/>
        <w:spacing w:line="360" w:lineRule="auto"/>
        <w:ind w:firstLine="420" w:firstLineChars="200"/>
        <w:jc w:val="left"/>
        <w:rPr>
          <w:rFonts w:hint="eastAsia" w:ascii="宋体" w:hAnsi="宋体"/>
          <w:bCs/>
          <w:color w:val="auto"/>
          <w:szCs w:val="21"/>
          <w:highlight w:val="none"/>
        </w:rPr>
      </w:pPr>
      <w:r>
        <w:rPr>
          <w:rFonts w:hint="eastAsia" w:ascii="宋体" w:hAnsi="宋体"/>
          <w:color w:val="auto"/>
          <w:szCs w:val="21"/>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bCs/>
          <w:color w:val="auto"/>
          <w:szCs w:val="21"/>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spacing w:line="360" w:lineRule="auto"/>
        <w:ind w:firstLine="420" w:firstLineChars="200"/>
        <w:rPr>
          <w:rFonts w:hint="eastAsia" w:ascii="宋体" w:hAnsi="宋体"/>
          <w:color w:val="auto"/>
          <w:szCs w:val="21"/>
          <w:highlight w:val="none"/>
          <w:u w:val="single"/>
        </w:rPr>
      </w:pPr>
      <w:r>
        <w:rPr>
          <w:rFonts w:hint="eastAsia" w:ascii="宋体" w:hAnsi="宋体" w:cs="宋体"/>
          <w:color w:val="auto"/>
          <w:kern w:val="0"/>
          <w:szCs w:val="21"/>
          <w:highlight w:val="none"/>
        </w:rPr>
        <w:t>（4）供应商需要在具备有摄像头及语音功能且互联网网络状况良好的电脑登录广西政府采购云平台远程开标大厅参与本次磋商，否则后果自负。</w:t>
      </w:r>
    </w:p>
    <w:p>
      <w:pPr>
        <w:spacing w:line="440" w:lineRule="exact"/>
        <w:rPr>
          <w:rFonts w:hint="eastAsia"/>
          <w:b/>
          <w:bCs/>
          <w:color w:val="auto"/>
          <w:highlight w:val="none"/>
        </w:rPr>
      </w:pPr>
      <w:bookmarkStart w:id="51" w:name="_Toc28359095"/>
      <w:bookmarkStart w:id="52" w:name="_Toc28359018"/>
      <w:bookmarkStart w:id="53" w:name="_Toc35393636"/>
      <w:bookmarkStart w:id="54" w:name="_Toc35393805"/>
      <w:bookmarkStart w:id="55" w:name="_Toc44229885"/>
      <w:r>
        <w:rPr>
          <w:rFonts w:hint="eastAsia"/>
          <w:b/>
          <w:bCs/>
          <w:color w:val="auto"/>
          <w:highlight w:val="none"/>
        </w:rPr>
        <w:t>八、凡对本次采购提出询问，请按以下方式联系</w:t>
      </w:r>
      <w:bookmarkEnd w:id="51"/>
      <w:bookmarkEnd w:id="52"/>
      <w:bookmarkEnd w:id="53"/>
      <w:bookmarkEnd w:id="54"/>
      <w:bookmarkEnd w:id="55"/>
    </w:p>
    <w:p>
      <w:pPr>
        <w:spacing w:line="360" w:lineRule="auto"/>
        <w:ind w:firstLine="420" w:firstLineChars="200"/>
        <w:rPr>
          <w:rFonts w:hint="eastAsia" w:ascii="宋体" w:hAnsi="宋体" w:cs="宋体"/>
          <w:color w:val="auto"/>
          <w:kern w:val="0"/>
          <w:szCs w:val="21"/>
          <w:highlight w:val="none"/>
        </w:rPr>
      </w:pPr>
      <w:bookmarkStart w:id="56" w:name="_Toc35393806"/>
      <w:bookmarkStart w:id="57" w:name="_Toc35393637"/>
      <w:bookmarkStart w:id="58" w:name="_Toc28359096"/>
      <w:bookmarkStart w:id="59" w:name="_Toc28359019"/>
      <w:r>
        <w:rPr>
          <w:rFonts w:hint="eastAsia" w:ascii="宋体" w:hAnsi="宋体" w:cs="宋体"/>
          <w:color w:val="auto"/>
          <w:kern w:val="0"/>
          <w:szCs w:val="21"/>
          <w:highlight w:val="none"/>
        </w:rPr>
        <w:t>1.采购人信息</w:t>
      </w:r>
      <w:bookmarkEnd w:id="56"/>
      <w:bookmarkEnd w:id="57"/>
      <w:bookmarkEnd w:id="58"/>
      <w:bookmarkEnd w:id="5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名称：广西壮族自治区林业局</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地址：南宁市青秀区云景路21号</w:t>
      </w:r>
    </w:p>
    <w:p>
      <w:pPr>
        <w:spacing w:line="360" w:lineRule="auto"/>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项目联系人：</w:t>
      </w:r>
      <w:r>
        <w:rPr>
          <w:rFonts w:hint="eastAsia" w:ascii="宋体" w:hAnsi="宋体" w:cs="宋体"/>
          <w:color w:val="auto"/>
          <w:szCs w:val="21"/>
          <w:highlight w:val="none"/>
          <w:lang w:eastAsia="zh-CN"/>
        </w:rPr>
        <w:t>陆工</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项目联系方式：07</w:t>
      </w:r>
      <w:bookmarkStart w:id="60" w:name="_Toc5614"/>
      <w:bookmarkStart w:id="61" w:name="_Toc28359097"/>
      <w:bookmarkStart w:id="62" w:name="_Toc35393807"/>
      <w:bookmarkStart w:id="63" w:name="_Toc28359020"/>
      <w:bookmarkStart w:id="64" w:name="_Toc35393638"/>
      <w:r>
        <w:rPr>
          <w:rFonts w:hint="eastAsia" w:ascii="宋体" w:hAnsi="宋体" w:cs="宋体"/>
          <w:color w:val="auto"/>
          <w:szCs w:val="21"/>
          <w:highlight w:val="none"/>
        </w:rPr>
        <w:t>71-6783361</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bookmarkEnd w:id="6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名称：广西国立工程咨询有限公司</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地址：南宁市青秀区茶花园路6-1号南湖翠苑9楼0928号</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项目联系人：梁志捷</w:t>
      </w:r>
    </w:p>
    <w:p>
      <w:pPr>
        <w:widowControl/>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新宋体" w:hAnsi="新宋体" w:eastAsia="新宋体" w:cs="宋体"/>
          <w:color w:val="auto"/>
          <w:szCs w:val="21"/>
          <w:highlight w:val="none"/>
          <w:u w:val="single"/>
        </w:rPr>
        <w:t>18007839625</w:t>
      </w:r>
    </w:p>
    <w:p>
      <w:pPr>
        <w:widowControl/>
        <w:spacing w:line="360" w:lineRule="auto"/>
        <w:ind w:firstLine="420" w:firstLineChars="200"/>
        <w:jc w:val="left"/>
        <w:rPr>
          <w:rFonts w:ascii="宋体" w:hAnsi="宋体" w:cs="宋体"/>
          <w:color w:val="auto"/>
          <w:szCs w:val="21"/>
          <w:highlight w:val="none"/>
        </w:rPr>
      </w:pPr>
    </w:p>
    <w:bookmarkEnd w:id="61"/>
    <w:bookmarkEnd w:id="62"/>
    <w:bookmarkEnd w:id="63"/>
    <w:bookmarkEnd w:id="64"/>
    <w:p>
      <w:pPr>
        <w:spacing w:line="360" w:lineRule="auto"/>
        <w:ind w:firstLine="420" w:firstLineChars="200"/>
        <w:jc w:val="right"/>
        <w:rPr>
          <w:rFonts w:hint="eastAsia" w:ascii="宋体" w:hAnsi="宋体" w:cs="宋体"/>
          <w:color w:val="auto"/>
          <w:szCs w:val="21"/>
          <w:highlight w:val="none"/>
        </w:rPr>
      </w:pPr>
    </w:p>
    <w:p>
      <w:pPr>
        <w:spacing w:line="360" w:lineRule="auto"/>
        <w:jc w:val="right"/>
        <w:rPr>
          <w:rFonts w:hint="eastAsia" w:ascii="宋体" w:hAnsi="宋体" w:cs="宋体"/>
          <w:color w:val="auto"/>
          <w:szCs w:val="21"/>
          <w:highlight w:val="none"/>
          <w:u w:val="single"/>
        </w:rPr>
      </w:pPr>
      <w:r>
        <w:rPr>
          <w:rFonts w:hint="eastAsia" w:ascii="宋体" w:hAnsi="宋体" w:cs="宋体"/>
          <w:color w:val="auto"/>
          <w:szCs w:val="21"/>
          <w:highlight w:val="none"/>
        </w:rPr>
        <w:t>广西国立工程咨询有限公司</w:t>
      </w:r>
    </w:p>
    <w:p>
      <w:pPr>
        <w:spacing w:line="360" w:lineRule="auto"/>
        <w:jc w:val="right"/>
        <w:rPr>
          <w:rFonts w:hint="eastAsia" w:ascii="宋体" w:hAnsi="宋体" w:cs="宋体"/>
          <w:b/>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rPr>
        <w:t>日</w:t>
      </w:r>
      <w:bookmarkEnd w:id="22"/>
    </w:p>
    <w:p>
      <w:pPr>
        <w:pStyle w:val="4"/>
        <w:spacing w:line="360" w:lineRule="auto"/>
        <w:jc w:val="center"/>
        <w:rPr>
          <w:rFonts w:hint="eastAsia"/>
          <w:color w:val="auto"/>
          <w:highlight w:val="none"/>
        </w:rPr>
      </w:pPr>
      <w:r>
        <w:rPr>
          <w:rFonts w:hint="eastAsia" w:ascii="宋体" w:hAnsi="宋体" w:cs="宋体"/>
          <w:color w:val="auto"/>
          <w:sz w:val="21"/>
          <w:szCs w:val="21"/>
          <w:highlight w:val="none"/>
        </w:rPr>
        <w:br w:type="page"/>
      </w:r>
      <w:bookmarkStart w:id="65" w:name="_Toc20716"/>
      <w:bookmarkStart w:id="66" w:name="_Toc19443"/>
      <w:bookmarkStart w:id="67" w:name="_Toc18923"/>
      <w:bookmarkStart w:id="68" w:name="_Toc21885"/>
      <w:bookmarkStart w:id="69" w:name="_Toc17784"/>
      <w:bookmarkStart w:id="70" w:name="_Toc11991"/>
      <w:bookmarkStart w:id="71" w:name="_Toc8653"/>
      <w:bookmarkStart w:id="72" w:name="_Toc22968"/>
      <w:bookmarkStart w:id="73" w:name="_Toc16201"/>
      <w:bookmarkStart w:id="74" w:name="_Toc12501"/>
      <w:bookmarkStart w:id="75" w:name="_Toc4953"/>
      <w:bookmarkStart w:id="76" w:name="_Toc29256"/>
      <w:bookmarkStart w:id="77" w:name="_Toc44229894"/>
      <w:bookmarkStart w:id="78" w:name="_Toc7790"/>
      <w:bookmarkStart w:id="79" w:name="_Toc21123"/>
      <w:bookmarkStart w:id="80" w:name="_Toc25427"/>
      <w:bookmarkStart w:id="81" w:name="_Toc21552"/>
      <w:r>
        <w:rPr>
          <w:rFonts w:hint="eastAsia"/>
          <w:color w:val="auto"/>
          <w:highlight w:val="none"/>
        </w:rPr>
        <w:t>第二章 供应商须知</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line="40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供应商须知前附表</w:t>
      </w:r>
    </w:p>
    <w:tbl>
      <w:tblPr>
        <w:tblStyle w:val="3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7912" w:type="dxa"/>
            <w:noWrap w:val="0"/>
            <w:vAlign w:val="top"/>
          </w:tcPr>
          <w:p>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7912" w:type="dxa"/>
            <w:noWrap w:val="0"/>
            <w:vAlign w:val="center"/>
          </w:tcPr>
          <w:p>
            <w:pPr>
              <w:spacing w:line="360" w:lineRule="auto"/>
              <w:rPr>
                <w:rFonts w:hint="eastAsia"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7912"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是否接受联合体竞标：详见竞争性磋商公告。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.2</w:t>
            </w:r>
          </w:p>
        </w:tc>
        <w:tc>
          <w:tcPr>
            <w:tcW w:w="7912" w:type="dxa"/>
            <w:noWrap w:val="0"/>
            <w:vAlign w:val="center"/>
          </w:tcPr>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如接受联合体竞标，联合体竞标要求如下：无。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6.2</w:t>
            </w:r>
          </w:p>
        </w:tc>
        <w:tc>
          <w:tcPr>
            <w:tcW w:w="7912" w:type="dxa"/>
            <w:noWrap w:val="0"/>
            <w:vAlign w:val="center"/>
          </w:tcPr>
          <w:p>
            <w:pPr>
              <w:pStyle w:val="1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□不允许分包</w:t>
            </w:r>
          </w:p>
          <w:p>
            <w:pPr>
              <w:pStyle w:val="1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☑允许分包</w:t>
            </w:r>
          </w:p>
          <w:p>
            <w:pPr>
              <w:pStyle w:val="1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提供法律相关的服务，对重大决策提供法律论证、合法性审查意见；对重要的地方立法项目和规范性文件进行研究、出具合法性审查意见；协助处理重大涉法事件，起草有关法律文书和法律意见书；参与重大、疑难信访案件的处理。</w:t>
            </w:r>
          </w:p>
          <w:p>
            <w:pPr>
              <w:pStyle w:val="10"/>
              <w:spacing w:line="360" w:lineRule="auto"/>
              <w:rPr>
                <w:rFonts w:hint="eastAsia"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18万元。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12.1.</w:t>
            </w:r>
            <w:r>
              <w:rPr>
                <w:rFonts w:ascii="宋体" w:hAnsi="宋体" w:cs="宋体"/>
                <w:color w:val="auto"/>
                <w:szCs w:val="21"/>
                <w:highlight w:val="none"/>
              </w:rPr>
              <w:t>1</w:t>
            </w:r>
          </w:p>
        </w:tc>
        <w:tc>
          <w:tcPr>
            <w:tcW w:w="7912" w:type="dxa"/>
            <w:noWrap w:val="0"/>
            <w:vAlign w:val="center"/>
          </w:tcPr>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资格证明文件</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1.供应商为法人或者其他组织的提供其营业执照等证明文件（如营业执照或者事业单位法人证书等）；（</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依法缴纳税收的相关材料（竞标截止前半年内任意一个月的依法缴纳税收的凭据；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Cs/>
                <w:color w:val="auto"/>
                <w:szCs w:val="22"/>
                <w:highlight w:val="none"/>
              </w:rPr>
              <w:t>或者提供依法缴纳</w:t>
            </w:r>
            <w:r>
              <w:rPr>
                <w:rFonts w:hint="eastAsia" w:ascii="宋体" w:hAnsi="宋体" w:cs="宋体"/>
                <w:color w:val="auto"/>
                <w:szCs w:val="21"/>
                <w:highlight w:val="none"/>
              </w:rPr>
              <w:t>税</w:t>
            </w:r>
            <w:r>
              <w:rPr>
                <w:rFonts w:hint="eastAsia" w:ascii="宋体" w:hAnsi="宋体" w:cs="宋体"/>
                <w:bCs/>
                <w:color w:val="auto"/>
                <w:szCs w:val="22"/>
                <w:highlight w:val="none"/>
              </w:rPr>
              <w:t>的承诺函（格式自拟）</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供应商依法缴纳社会保障资金的相关材料[竞标截止前半年内任意一个月的依法缴纳社会保障资金的缴费凭证；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或者</w:t>
            </w:r>
            <w:r>
              <w:rPr>
                <w:rFonts w:hint="eastAsia" w:ascii="宋体" w:hAnsi="宋体" w:cs="宋体"/>
                <w:bCs/>
                <w:color w:val="auto"/>
                <w:szCs w:val="22"/>
                <w:highlight w:val="none"/>
              </w:rPr>
              <w:t>提供依法缴纳社会保险费的承诺函（格式自拟）</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.供应商财务状况报告</w:t>
            </w:r>
            <w:r>
              <w:rPr>
                <w:rFonts w:hint="eastAsia" w:ascii="宋体" w:hAnsi="宋体"/>
                <w:bCs/>
                <w:color w:val="auto"/>
                <w:szCs w:val="21"/>
                <w:highlight w:val="none"/>
              </w:rPr>
              <w:t>【</w:t>
            </w:r>
            <w:r>
              <w:rPr>
                <w:rFonts w:hint="eastAsia" w:ascii="宋体" w:hAnsi="宋体" w:cs="宋体"/>
                <w:color w:val="auto"/>
                <w:szCs w:val="21"/>
                <w:highlight w:val="none"/>
              </w:rPr>
              <w:t>供应商</w:t>
            </w:r>
            <w:r>
              <w:rPr>
                <w:rFonts w:hint="eastAsia" w:ascii="宋体" w:hAnsi="宋体"/>
                <w:bCs/>
                <w:color w:val="auto"/>
                <w:szCs w:val="21"/>
                <w:highlight w:val="none"/>
              </w:rPr>
              <w:t>2023年度的财务状况报告或截标时间前半年内能反映财务状况的报表或者2023年银行出具的资信证明</w:t>
            </w:r>
            <w:r>
              <w:rPr>
                <w:rFonts w:hint="eastAsia" w:ascii="宋体" w:hAnsi="宋体"/>
                <w:b/>
                <w:color w:val="auto"/>
                <w:szCs w:val="21"/>
                <w:highlight w:val="none"/>
              </w:rPr>
              <w:t>（财务状况报告（表）可以是</w:t>
            </w:r>
            <w:r>
              <w:rPr>
                <w:rFonts w:hint="eastAsia" w:ascii="宋体" w:hAnsi="宋体" w:cs="宋体"/>
                <w:b/>
                <w:bCs/>
                <w:color w:val="auto"/>
                <w:szCs w:val="21"/>
                <w:highlight w:val="none"/>
              </w:rPr>
              <w:t>供应商</w:t>
            </w:r>
            <w:r>
              <w:rPr>
                <w:rFonts w:hint="eastAsia" w:ascii="宋体" w:hAnsi="宋体"/>
                <w:b/>
                <w:color w:val="auto"/>
                <w:szCs w:val="21"/>
                <w:highlight w:val="none"/>
              </w:rPr>
              <w:t>自行编制也可是通过第三方审计公司编制，如为自行编制至少须提供现金流量表、资产负债表及利润表）</w:t>
            </w:r>
            <w:r>
              <w:rPr>
                <w:rFonts w:hint="eastAsia" w:ascii="宋体" w:hAnsi="宋体" w:cs="宋体"/>
                <w:color w:val="auto"/>
                <w:szCs w:val="21"/>
                <w:highlight w:val="none"/>
              </w:rPr>
              <w:t>或者供应商自拟的截标时间前半年内至少一个月的财务情况说明</w:t>
            </w:r>
            <w:r>
              <w:rPr>
                <w:rFonts w:hint="eastAsia" w:ascii="宋体" w:hAnsi="宋体"/>
                <w:b/>
                <w:color w:val="auto"/>
                <w:szCs w:val="21"/>
                <w:highlight w:val="none"/>
              </w:rPr>
              <w:t>】；</w:t>
            </w:r>
            <w:r>
              <w:rPr>
                <w:rFonts w:hint="eastAsia" w:ascii="宋体" w:hAnsi="宋体"/>
                <w:bCs/>
                <w:color w:val="auto"/>
                <w:szCs w:val="21"/>
                <w:highlight w:val="none"/>
              </w:rPr>
              <w:t>对于从取得营业执照时间起到响应文件递交截止时间为止不足</w:t>
            </w:r>
            <w:r>
              <w:rPr>
                <w:rFonts w:ascii="宋体" w:hAnsi="宋体"/>
                <w:bCs/>
                <w:color w:val="auto"/>
                <w:szCs w:val="21"/>
                <w:highlight w:val="none"/>
              </w:rPr>
              <w:t>1</w:t>
            </w:r>
            <w:r>
              <w:rPr>
                <w:rFonts w:hint="eastAsia" w:ascii="宋体" w:hAnsi="宋体"/>
                <w:bCs/>
                <w:color w:val="auto"/>
                <w:szCs w:val="21"/>
                <w:highlight w:val="none"/>
              </w:rPr>
              <w:t>年的供应商，只需提交响应文件递交截止时间前一个月的财务状况报告（表）</w:t>
            </w:r>
            <w:r>
              <w:rPr>
                <w:rFonts w:hint="eastAsia" w:ascii="宋体" w:hAnsi="宋体"/>
                <w:color w:val="auto"/>
                <w:szCs w:val="21"/>
                <w:highlight w:val="none"/>
              </w:rPr>
              <w:t>；（</w:t>
            </w:r>
            <w:r>
              <w:rPr>
                <w:rFonts w:hint="eastAsia" w:ascii="宋体" w:hAnsi="宋体"/>
                <w:b/>
                <w:color w:val="auto"/>
                <w:szCs w:val="21"/>
                <w:highlight w:val="none"/>
              </w:rPr>
              <w:t>必须提供，否则作无效响应处理</w:t>
            </w:r>
            <w:r>
              <w:rPr>
                <w:rFonts w:hint="eastAsia" w:ascii="宋体" w:hAnsi="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.供应商直接控股、管理关系信息表（格式后附）；（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.中小企业声明函或者残疾人福利性单位声明函或者供应商属于监狱企业的证明材料；（</w:t>
            </w:r>
            <w:r>
              <w:rPr>
                <w:rFonts w:hint="eastAsia" w:ascii="宋体" w:hAnsi="宋体" w:cs="宋体"/>
                <w:b/>
                <w:color w:val="auto"/>
                <w:szCs w:val="21"/>
                <w:highlight w:val="none"/>
              </w:rPr>
              <w:t>本项目专门面向</w:t>
            </w:r>
            <w:r>
              <w:rPr>
                <w:rFonts w:hint="eastAsia" w:ascii="宋体" w:hAnsi="宋体" w:cs="宋体"/>
                <w:b/>
                <w:color w:val="auto"/>
                <w:szCs w:val="21"/>
                <w:highlight w:val="none"/>
                <w:lang w:val="en-US" w:eastAsia="zh-CN"/>
              </w:rPr>
              <w:t>中</w:t>
            </w:r>
            <w:r>
              <w:rPr>
                <w:rFonts w:hint="eastAsia" w:ascii="宋体" w:hAnsi="宋体" w:cs="宋体"/>
                <w:b/>
                <w:color w:val="auto"/>
                <w:szCs w:val="21"/>
                <w:highlight w:val="none"/>
              </w:rPr>
              <w:t>小微企业采购，必须提供，否则响应文件按无效响应处理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.联合体协议书（格式后附）；（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9.除磋商文件规定必须提供以外，供应商认为需要提供的其他证明材料；</w:t>
            </w:r>
          </w:p>
          <w:p>
            <w:pPr>
              <w:snapToGrid w:val="0"/>
              <w:spacing w:line="360" w:lineRule="auto"/>
              <w:jc w:val="left"/>
              <w:rPr>
                <w:rFonts w:hint="eastAsia" w:ascii="宋体" w:hAnsi="宋体" w:cs="宋体"/>
                <w:b/>
                <w:color w:val="auto"/>
                <w:szCs w:val="21"/>
                <w:highlight w:val="none"/>
              </w:rPr>
            </w:pPr>
            <w:r>
              <w:rPr>
                <w:rFonts w:hint="eastAsia" w:ascii="宋体" w:hAnsi="宋体" w:cs="宋体"/>
                <w:b/>
                <w:color w:val="auto"/>
                <w:szCs w:val="21"/>
                <w:highlight w:val="none"/>
              </w:rPr>
              <w:t>注：</w:t>
            </w:r>
          </w:p>
          <w:p>
            <w:pPr>
              <w:snapToGrid w:val="0"/>
              <w:spacing w:line="360" w:lineRule="auto"/>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1.以上标明“必须提供”的材料必须加盖供应商公章（或电子签章），否则响应文件按无效响应处理。</w:t>
            </w:r>
          </w:p>
          <w:p>
            <w:pPr>
              <w:snapToGrid w:val="0"/>
              <w:spacing w:line="360" w:lineRule="auto"/>
              <w:ind w:firstLine="421"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2.竞标声明必须由法定代表人或授权代理人在规定签章处签字</w:t>
            </w:r>
            <w:r>
              <w:rPr>
                <w:rFonts w:hint="eastAsia" w:ascii="宋体" w:hAnsi="宋体" w:cs="宋体"/>
                <w:b/>
                <w:bCs/>
                <w:color w:val="auto"/>
                <w:szCs w:val="21"/>
                <w:highlight w:val="none"/>
              </w:rPr>
              <w:t>（或电子签名）</w:t>
            </w:r>
            <w:r>
              <w:rPr>
                <w:rFonts w:hint="eastAsia" w:ascii="宋体" w:hAnsi="宋体" w:cs="宋体"/>
                <w:b/>
                <w:color w:val="auto"/>
                <w:szCs w:val="21"/>
                <w:highlight w:val="none"/>
              </w:rPr>
              <w:t>并加盖供应商公章（或电子签章），否则响应文件按无效响应处理。</w:t>
            </w:r>
          </w:p>
          <w:p>
            <w:pPr>
              <w:snapToGrid w:val="0"/>
              <w:spacing w:line="360" w:lineRule="auto"/>
              <w:ind w:firstLine="421"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w:t>
            </w:r>
            <w:r>
              <w:rPr>
                <w:rFonts w:hint="eastAsia" w:ascii="宋体" w:hAnsi="宋体" w:cs="宋体"/>
                <w:b/>
                <w:bCs/>
                <w:color w:val="auto"/>
                <w:szCs w:val="21"/>
                <w:highlight w:val="none"/>
              </w:rPr>
              <w:t>（或电子签名）</w:t>
            </w:r>
            <w:r>
              <w:rPr>
                <w:rFonts w:hint="eastAsia" w:ascii="宋体" w:hAnsi="宋体" w:cs="宋体"/>
                <w:b/>
                <w:color w:val="auto"/>
                <w:szCs w:val="21"/>
                <w:highlight w:val="none"/>
              </w:rPr>
              <w:t>并加盖供应商公章（或电子签章），否则响应文件按无效响应处理。</w:t>
            </w:r>
          </w:p>
          <w:p>
            <w:pPr>
              <w:pStyle w:val="10"/>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4.联合体竞标时，第1-8项资格证明文件联合体各方均必须分别提供，联合体各方分别盖章和签字（或电子签章），否则响应文件按无效响应处理。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2</w:t>
            </w:r>
          </w:p>
        </w:tc>
        <w:tc>
          <w:tcPr>
            <w:tcW w:w="7912" w:type="dxa"/>
            <w:noWrap w:val="0"/>
            <w:vAlign w:val="center"/>
          </w:tcPr>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报价商务技术文件</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1.无串通竞标行为的承诺函（格式后附）；</w:t>
            </w:r>
            <w:r>
              <w:rPr>
                <w:rFonts w:hint="eastAsia" w:ascii="宋体" w:hAnsi="宋体" w:cs="宋体"/>
                <w:b/>
                <w:bCs/>
                <w:color w:val="auto"/>
                <w:highlight w:val="none"/>
              </w:rPr>
              <w:t>（必须提供，否则响应文件按无效响应处理）</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2.竞标报价表（格式后附）；</w:t>
            </w:r>
            <w:r>
              <w:rPr>
                <w:rFonts w:hint="eastAsia" w:ascii="宋体" w:hAnsi="宋体" w:cs="宋体"/>
                <w:b/>
                <w:bCs/>
                <w:color w:val="auto"/>
                <w:highlight w:val="none"/>
              </w:rPr>
              <w:t>（必须提供，否则响应文件按无效响应处理）</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3.法定代表人身份证明书及法定代表人有效身份证正反面（格式后附）；</w:t>
            </w:r>
            <w:r>
              <w:rPr>
                <w:rFonts w:hint="eastAsia" w:ascii="宋体" w:hAnsi="宋体" w:cs="宋体"/>
                <w:b/>
                <w:bCs/>
                <w:color w:val="auto"/>
                <w:highlight w:val="none"/>
              </w:rPr>
              <w:t>（除自然人竞标外必须提供，否则响应文件按无效响应处理）</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4.法定代表人授权委托书及委托代理人有效身份证正反面（格式后附）；</w:t>
            </w:r>
            <w:r>
              <w:rPr>
                <w:rFonts w:hint="eastAsia" w:ascii="宋体" w:hAnsi="宋体" w:cs="宋体"/>
                <w:b/>
                <w:bCs/>
                <w:color w:val="auto"/>
                <w:highlight w:val="none"/>
              </w:rPr>
              <w:t>（委托时必须提供，否则响应文件按无效响应处理）</w:t>
            </w:r>
          </w:p>
          <w:p>
            <w:pPr>
              <w:spacing w:line="360" w:lineRule="auto"/>
              <w:ind w:firstLine="411" w:firstLineChars="196"/>
              <w:rPr>
                <w:rFonts w:hint="eastAsia" w:ascii="宋体" w:hAnsi="宋体" w:cs="宋体"/>
                <w:b/>
                <w:bCs/>
                <w:color w:val="auto"/>
                <w:highlight w:val="none"/>
              </w:rPr>
            </w:pPr>
            <w:r>
              <w:rPr>
                <w:rFonts w:hint="eastAsia" w:ascii="宋体" w:hAnsi="宋体" w:cs="宋体"/>
                <w:color w:val="auto"/>
                <w:highlight w:val="none"/>
              </w:rPr>
              <w:t>5.</w:t>
            </w:r>
            <w:r>
              <w:rPr>
                <w:rFonts w:hint="eastAsia" w:ascii="宋体" w:hAnsi="宋体" w:cs="宋体"/>
                <w:color w:val="auto"/>
                <w:szCs w:val="21"/>
                <w:highlight w:val="none"/>
              </w:rPr>
              <w:t>商务条款偏离表</w:t>
            </w:r>
            <w:r>
              <w:rPr>
                <w:rFonts w:hint="eastAsia" w:ascii="宋体" w:hAnsi="宋体" w:cs="宋体"/>
                <w:color w:val="auto"/>
                <w:highlight w:val="none"/>
              </w:rPr>
              <w:t>（格式后附）；</w:t>
            </w:r>
            <w:r>
              <w:rPr>
                <w:rFonts w:hint="eastAsia" w:ascii="宋体" w:hAnsi="宋体" w:cs="宋体"/>
                <w:b/>
                <w:bCs/>
                <w:color w:val="auto"/>
                <w:highlight w:val="none"/>
              </w:rPr>
              <w:t>（必须提供，否则响应文件按无效响应处理）</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6.采购需求偏离表（格式后附）</w:t>
            </w:r>
            <w:r>
              <w:rPr>
                <w:rFonts w:hint="eastAsia" w:ascii="宋体" w:hAnsi="宋体" w:cs="宋体"/>
                <w:b/>
                <w:color w:val="auto"/>
                <w:szCs w:val="21"/>
                <w:highlight w:val="none"/>
              </w:rPr>
              <w:t>；（必须提供，否则作无效响应处理）</w:t>
            </w:r>
          </w:p>
          <w:p>
            <w:pPr>
              <w:spacing w:line="360" w:lineRule="auto"/>
              <w:ind w:firstLine="411" w:firstLineChars="196"/>
              <w:rPr>
                <w:rFonts w:hint="eastAsia"/>
                <w:color w:val="auto"/>
                <w:highlight w:val="none"/>
              </w:rPr>
            </w:pPr>
            <w:r>
              <w:rPr>
                <w:rFonts w:hint="eastAsia" w:ascii="宋体" w:hAnsi="宋体" w:cs="宋体"/>
                <w:color w:val="auto"/>
                <w:szCs w:val="20"/>
                <w:highlight w:val="none"/>
              </w:rPr>
              <w:t>7.</w:t>
            </w:r>
            <w:r>
              <w:rPr>
                <w:rFonts w:hint="eastAsia" w:ascii="宋体" w:hAnsi="宋体" w:cs="宋体"/>
                <w:color w:val="auto"/>
                <w:szCs w:val="21"/>
                <w:highlight w:val="none"/>
              </w:rPr>
              <w:t>售后服务承诺</w:t>
            </w:r>
            <w:r>
              <w:rPr>
                <w:rFonts w:hint="eastAsia"/>
                <w:color w:val="auto"/>
                <w:highlight w:val="none"/>
              </w:rPr>
              <w:t>；</w:t>
            </w:r>
            <w:r>
              <w:rPr>
                <w:rFonts w:hint="eastAsia"/>
                <w:b/>
                <w:bCs/>
                <w:color w:val="auto"/>
                <w:highlight w:val="none"/>
              </w:rPr>
              <w:t>（必须提供，否则响应文件作无效处理）</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8.</w:t>
            </w:r>
            <w:r>
              <w:rPr>
                <w:rFonts w:hint="eastAsia" w:ascii="宋体" w:hAnsi="宋体" w:cs="宋体"/>
                <w:color w:val="auto"/>
                <w:szCs w:val="21"/>
                <w:highlight w:val="none"/>
              </w:rPr>
              <w:t>项目实施</w:t>
            </w:r>
            <w:r>
              <w:rPr>
                <w:rFonts w:hint="eastAsia" w:ascii="宋体" w:hAnsi="宋体" w:cs="宋体"/>
                <w:color w:val="auto"/>
                <w:highlight w:val="none"/>
              </w:rPr>
              <w:t>方案（格式自拟）；</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9.项目实施人员一览表（格式自拟）；</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10.对应采购需求的技术需求、商务条款提供的其他文件资料；</w:t>
            </w:r>
          </w:p>
          <w:p>
            <w:pPr>
              <w:spacing w:line="360" w:lineRule="auto"/>
              <w:ind w:firstLine="411" w:firstLineChars="196"/>
              <w:rPr>
                <w:rFonts w:hint="eastAsia" w:ascii="宋体" w:hAnsi="宋体" w:cs="宋体"/>
                <w:color w:val="auto"/>
                <w:highlight w:val="none"/>
              </w:rPr>
            </w:pPr>
            <w:r>
              <w:rPr>
                <w:rFonts w:hint="eastAsia" w:ascii="宋体" w:hAnsi="宋体" w:cs="宋体"/>
                <w:color w:val="auto"/>
                <w:highlight w:val="none"/>
              </w:rPr>
              <w:t>11.供应商认为需要提供的其他有关资料。</w:t>
            </w:r>
          </w:p>
          <w:p>
            <w:pPr>
              <w:spacing w:line="360" w:lineRule="auto"/>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注：</w:t>
            </w:r>
          </w:p>
          <w:p>
            <w:pPr>
              <w:spacing w:line="360" w:lineRule="auto"/>
              <w:ind w:firstLine="413" w:firstLineChars="196"/>
              <w:jc w:val="left"/>
              <w:rPr>
                <w:rFonts w:hint="eastAsia" w:ascii="宋体" w:hAnsi="宋体" w:cs="宋体"/>
                <w:b/>
                <w:bCs/>
                <w:color w:val="auto"/>
                <w:highlight w:val="none"/>
              </w:rPr>
            </w:pPr>
            <w:r>
              <w:rPr>
                <w:rFonts w:hint="eastAsia" w:ascii="宋体" w:hAnsi="宋体" w:cs="宋体"/>
                <w:b/>
                <w:bCs/>
                <w:color w:val="auto"/>
                <w:highlight w:val="none"/>
              </w:rPr>
              <w:t>1.法定代表人授权委托书必须由法定代表人及委托代理人签字</w:t>
            </w:r>
            <w:r>
              <w:rPr>
                <w:rFonts w:hint="eastAsia" w:ascii="宋体" w:hAnsi="宋体" w:cs="宋体"/>
                <w:b/>
                <w:bCs/>
                <w:color w:val="auto"/>
                <w:szCs w:val="21"/>
                <w:highlight w:val="none"/>
              </w:rPr>
              <w:t>（或电子签名）</w:t>
            </w:r>
            <w:r>
              <w:rPr>
                <w:rFonts w:hint="eastAsia" w:ascii="宋体" w:hAnsi="宋体" w:cs="宋体"/>
                <w:b/>
                <w:bCs/>
                <w:color w:val="auto"/>
                <w:highlight w:val="none"/>
              </w:rPr>
              <w:t>，并加盖供应商公章（或电子签章），否则响应文件按无效响应处理。</w:t>
            </w:r>
          </w:p>
          <w:p>
            <w:pPr>
              <w:spacing w:line="360" w:lineRule="auto"/>
              <w:ind w:firstLine="413" w:firstLineChars="196"/>
              <w:rPr>
                <w:rFonts w:hint="eastAsia" w:ascii="宋体" w:hAnsi="宋体" w:cs="宋体"/>
                <w:b/>
                <w:bCs/>
                <w:color w:val="auto"/>
                <w:highlight w:val="none"/>
              </w:rPr>
            </w:pPr>
            <w:r>
              <w:rPr>
                <w:rFonts w:hint="eastAsia" w:ascii="宋体" w:hAnsi="宋体" w:cs="宋体"/>
                <w:b/>
                <w:bCs/>
                <w:color w:val="auto"/>
                <w:highlight w:val="none"/>
              </w:rPr>
              <w:t>2.以上标明“必须提供”的材料必须加盖供应商公章（或电子签章），否则响应文件按无效响应处理。</w:t>
            </w:r>
          </w:p>
          <w:p>
            <w:pPr>
              <w:spacing w:line="360" w:lineRule="auto"/>
              <w:ind w:firstLine="413" w:firstLineChars="196"/>
              <w:rPr>
                <w:rFonts w:hint="eastAsia" w:ascii="宋体" w:hAnsi="宋体" w:cs="宋体"/>
                <w:b/>
                <w:bCs/>
                <w:color w:val="auto"/>
                <w:highlight w:val="none"/>
              </w:rPr>
            </w:pPr>
            <w:r>
              <w:rPr>
                <w:rFonts w:hint="eastAsia" w:ascii="宋体" w:hAnsi="宋体" w:cs="宋体"/>
                <w:b/>
                <w:bCs/>
                <w:color w:val="auto"/>
                <w:highlight w:val="none"/>
              </w:rPr>
              <w:t>3.以上材料未附格式的，由供应商自行拟定。</w:t>
            </w:r>
          </w:p>
          <w:p>
            <w:pPr>
              <w:spacing w:line="360" w:lineRule="auto"/>
              <w:ind w:firstLine="413" w:firstLineChars="196"/>
              <w:rPr>
                <w:rFonts w:hint="eastAsia" w:ascii="宋体" w:hAnsi="宋体" w:cs="宋体"/>
                <w:b/>
                <w:bCs/>
                <w:color w:val="auto"/>
                <w:highlight w:val="none"/>
              </w:rPr>
            </w:pPr>
            <w:r>
              <w:rPr>
                <w:rFonts w:hint="eastAsia" w:ascii="宋体" w:hAnsi="宋体" w:cs="宋体"/>
                <w:b/>
                <w:bCs/>
                <w:color w:val="auto"/>
                <w:highlight w:val="none"/>
              </w:rPr>
              <w:t>特别说明：</w:t>
            </w:r>
          </w:p>
          <w:p>
            <w:pPr>
              <w:spacing w:line="360" w:lineRule="auto"/>
              <w:ind w:firstLine="413" w:firstLineChars="196"/>
              <w:rPr>
                <w:rFonts w:hint="eastAsia" w:ascii="宋体" w:hAnsi="宋体" w:cs="宋体"/>
                <w:color w:val="auto"/>
                <w:highlight w:val="none"/>
              </w:rPr>
            </w:pPr>
            <w:r>
              <w:rPr>
                <w:rFonts w:hint="eastAsia" w:ascii="宋体" w:hAnsi="宋体" w:cs="宋体"/>
                <w:b/>
                <w:bCs/>
                <w:color w:val="auto"/>
                <w:highlight w:val="none"/>
              </w:rPr>
              <w:t>响应文件（电子响应文件），其中电子响应文件中所须加盖公章部分均采用CA签章。若采购文件中有专门标注的某关联点，并要求供应商在电子投标系统中作出竞标响应的，如供应商未对关联点进行响应或者在响应文件其它内容进行描述，造成电子评审不能查询的责任由供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p>
        </w:tc>
        <w:tc>
          <w:tcPr>
            <w:tcW w:w="7912" w:type="dxa"/>
            <w:noWrap w:val="0"/>
            <w:vAlign w:val="center"/>
          </w:tcPr>
          <w:p>
            <w:pPr>
              <w:pStyle w:val="5"/>
              <w:spacing w:before="0" w:after="0" w:line="360" w:lineRule="auto"/>
              <w:ind w:firstLine="420" w:firstLineChars="200"/>
              <w:rPr>
                <w:rFonts w:hint="eastAsia" w:ascii="宋体" w:hAnsi="宋体" w:cs="宋体"/>
                <w:b w:val="0"/>
                <w:bCs/>
                <w:color w:val="auto"/>
                <w:sz w:val="21"/>
                <w:szCs w:val="21"/>
                <w:highlight w:val="none"/>
              </w:rPr>
            </w:pPr>
            <w:bookmarkStart w:id="82" w:name="_Toc19911"/>
            <w:bookmarkStart w:id="83" w:name="_Toc27452"/>
            <w:bookmarkStart w:id="84" w:name="_Toc20470"/>
            <w:bookmarkStart w:id="85" w:name="_Toc32405"/>
            <w:bookmarkStart w:id="86" w:name="_Toc15259"/>
            <w:bookmarkStart w:id="87" w:name="_Toc26203"/>
            <w:bookmarkStart w:id="88" w:name="_Toc22054"/>
            <w:bookmarkStart w:id="89" w:name="_Toc12671"/>
            <w:bookmarkStart w:id="90" w:name="_Toc9543"/>
            <w:bookmarkStart w:id="91" w:name="_Toc24322"/>
            <w:bookmarkStart w:id="92" w:name="_Toc4097"/>
            <w:bookmarkStart w:id="93" w:name="_Toc15932"/>
            <w:bookmarkStart w:id="94" w:name="_Toc26078"/>
            <w:bookmarkStart w:id="95" w:name="_Toc31385"/>
            <w:bookmarkStart w:id="96" w:name="_Toc19912"/>
            <w:bookmarkStart w:id="97" w:name="_Toc15541"/>
            <w:bookmarkStart w:id="98" w:name="_Toc938"/>
            <w:bookmarkStart w:id="99" w:name="_Toc14132"/>
            <w:r>
              <w:rPr>
                <w:rFonts w:hint="eastAsia" w:ascii="宋体" w:hAnsi="宋体" w:cs="宋体"/>
                <w:b w:val="0"/>
                <w:bCs/>
                <w:color w:val="auto"/>
                <w:sz w:val="21"/>
                <w:szCs w:val="21"/>
                <w:highlight w:val="none"/>
              </w:rPr>
              <w:t>电子竞争性磋商响应文件的制作</w:t>
            </w:r>
            <w:bookmarkEnd w:id="82"/>
            <w:bookmarkEnd w:id="83"/>
            <w:bookmarkEnd w:id="84"/>
            <w:r>
              <w:rPr>
                <w:rFonts w:hint="eastAsia" w:ascii="宋体" w:hAnsi="宋体" w:cs="宋体"/>
                <w:b w:val="0"/>
                <w:bCs/>
                <w:color w:val="auto"/>
                <w:sz w:val="21"/>
                <w:szCs w:val="21"/>
                <w:highlight w:val="none"/>
              </w:rPr>
              <w:t>：</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1.电子磋商响应文件中须加盖供应商公章部分均采用CA签章，并根据“政府采购项目电子交易管理操作指南-供应商”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spacing w:line="360" w:lineRule="auto"/>
              <w:ind w:firstLine="421"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2.供应商法人（负责人）或授权代表持有广西政府采购云平台个人CA签章的，应在响应文件中</w:t>
            </w:r>
            <w:r>
              <w:rPr>
                <w:rFonts w:hint="eastAsia" w:ascii="宋体" w:hAnsi="宋体" w:cs="宋体"/>
                <w:b/>
                <w:bCs/>
                <w:color w:val="auto"/>
                <w:szCs w:val="21"/>
                <w:highlight w:val="none"/>
                <w:lang w:eastAsia="zh-CN"/>
              </w:rPr>
              <w:t>涉及</w:t>
            </w:r>
            <w:r>
              <w:rPr>
                <w:rFonts w:hint="eastAsia" w:ascii="宋体" w:hAnsi="宋体" w:cs="宋体"/>
                <w:b/>
                <w:bCs/>
                <w:color w:val="auto"/>
                <w:szCs w:val="21"/>
                <w:highlight w:val="none"/>
              </w:rPr>
              <w:t>签字的位置使用个人CA签章，没有办理广西政府采购云平台个人CA签章的可在响应文件中</w:t>
            </w:r>
            <w:r>
              <w:rPr>
                <w:rFonts w:hint="eastAsia" w:ascii="宋体" w:hAnsi="宋体" w:cs="宋体"/>
                <w:b/>
                <w:bCs/>
                <w:color w:val="auto"/>
                <w:szCs w:val="21"/>
                <w:highlight w:val="none"/>
                <w:lang w:eastAsia="zh-CN"/>
              </w:rPr>
              <w:t>涉及</w:t>
            </w:r>
            <w:r>
              <w:rPr>
                <w:rFonts w:hint="eastAsia" w:ascii="宋体" w:hAnsi="宋体" w:cs="宋体"/>
                <w:b/>
                <w:bCs/>
                <w:color w:val="auto"/>
                <w:szCs w:val="21"/>
                <w:highlight w:val="none"/>
              </w:rPr>
              <w:t>签字的位置手写签字后扫描或者拍照做成PDF的格式上传即可。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磋商响应文件不得涂改，若有修改错漏处，须法定代表人（负责人）或授权委托人签字（或个人CA签章）。磋商响应文件因字迹潦草或表达不清所引起的后果由供应商负责。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4.磋商前准备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4.1本项目实行在线磋商，采用电子磋商响应文件。若供应商参与磋商，自行承担磋商一切费用。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4.2各供应商应在截标前应确保成为广西政府采购云平台正式注册入库供应商，并完成 CA 数字证书申领。因未注册入库、未办理CA数字证书等原因造成无法磋商或磋商失败等后果由供应商自行承担。</w:t>
            </w:r>
          </w:p>
          <w:p>
            <w:pPr>
              <w:pStyle w:val="1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4.3供应商将广西政府采购云平台电子交易客户端下载、安装完成后，可通过账号密码或CA 登录客户端进行响应文件制作。客户端请至网站下载专区查看，如有问题可拨打广西政府采购云平台客户服务热线95763进行咨询。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7912"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szCs w:val="21"/>
                <w:highlight w:val="none"/>
              </w:rPr>
              <w:t>竞标报价</w:t>
            </w:r>
            <w:r>
              <w:rPr>
                <w:rFonts w:hint="eastAsia" w:ascii="宋体" w:hAnsi="宋体" w:cs="宋体"/>
                <w:color w:val="auto"/>
                <w:highlight w:val="none"/>
              </w:rPr>
              <w:t>是履行合同的最终价格，合计金额</w:t>
            </w:r>
            <w:r>
              <w:rPr>
                <w:rFonts w:hint="eastAsia" w:ascii="宋体" w:hAnsi="宋体" w:cs="宋体"/>
                <w:color w:val="auto"/>
                <w:highlight w:val="none"/>
                <w:lang w:eastAsia="zh-CN"/>
              </w:rPr>
              <w:t>包含</w:t>
            </w:r>
            <w:r>
              <w:rPr>
                <w:rFonts w:hint="eastAsia" w:ascii="宋体" w:hAnsi="宋体" w:cs="宋体"/>
                <w:color w:val="auto"/>
                <w:highlight w:val="none"/>
              </w:rPr>
              <w:t>但不限于服务、交通、保险、各项税费、提供售后服务等相关的一切费用及合同实施过程中不可预见费用等完成本次采购项下的全部费用。供应商报价时应考虑各种风险因素。</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☑竞标报价包含验收费用</w:t>
            </w:r>
          </w:p>
          <w:p>
            <w:pPr>
              <w:spacing w:line="360" w:lineRule="auto"/>
              <w:jc w:val="left"/>
              <w:rPr>
                <w:rFonts w:hint="eastAsia" w:ascii="宋体" w:hAnsi="宋体" w:cs="宋体"/>
                <w:color w:val="auto"/>
                <w:szCs w:val="21"/>
                <w:highlight w:val="none"/>
              </w:rPr>
            </w:pPr>
            <w:r>
              <w:rPr>
                <w:rFonts w:hint="eastAsia" w:ascii="宋体" w:hAnsi="宋体" w:cs="宋体"/>
                <w:b/>
                <w:color w:val="auto"/>
                <w:szCs w:val="21"/>
                <w:highlight w:val="none"/>
              </w:rPr>
              <w:t>□竞标报价不包含验收费用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r>
              <w:rPr>
                <w:rFonts w:ascii="宋体" w:hAnsi="宋体" w:cs="宋体"/>
                <w:color w:val="auto"/>
                <w:szCs w:val="21"/>
                <w:highlight w:val="none"/>
              </w:rPr>
              <w:t>2</w:t>
            </w:r>
          </w:p>
        </w:tc>
        <w:tc>
          <w:tcPr>
            <w:tcW w:w="7912" w:type="dxa"/>
            <w:noWrap w:val="0"/>
            <w:vAlign w:val="center"/>
          </w:tcPr>
          <w:p>
            <w:pPr>
              <w:pStyle w:val="16"/>
              <w:widowControl w:val="0"/>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竞标有效期：自首次响应文件提交截止之日起90日。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7912" w:type="dxa"/>
            <w:noWrap w:val="0"/>
            <w:vAlign w:val="center"/>
          </w:tcPr>
          <w:p>
            <w:pPr>
              <w:pStyle w:val="16"/>
              <w:tabs>
                <w:tab w:val="clear" w:pos="454"/>
              </w:tabs>
              <w:snapToGrid w:val="0"/>
              <w:spacing w:afterLines="0" w:line="360" w:lineRule="auto"/>
              <w:ind w:left="283" w:hanging="283" w:hangingChars="135"/>
              <w:rPr>
                <w:rFonts w:hint="eastAsia" w:ascii="宋体" w:hAnsi="宋体" w:cs="宋体"/>
                <w:color w:val="auto"/>
                <w:kern w:val="2"/>
                <w:sz w:val="21"/>
                <w:szCs w:val="21"/>
                <w:highlight w:val="none"/>
              </w:rPr>
            </w:pPr>
            <w:r>
              <w:rPr>
                <w:rFonts w:hint="eastAsia" w:ascii="宋体" w:hAnsi="宋体" w:cs="宋体"/>
                <w:color w:val="auto"/>
                <w:kern w:val="2"/>
                <w:sz w:val="21"/>
                <w:szCs w:val="21"/>
                <w:highlight w:val="none"/>
              </w:rPr>
              <w:t>磋商保证金金额：详见第一章招标公告内容。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7912" w:type="dxa"/>
            <w:noWrap w:val="0"/>
            <w:vAlign w:val="center"/>
          </w:tcPr>
          <w:p>
            <w:pPr>
              <w:spacing w:line="360" w:lineRule="auto"/>
              <w:rPr>
                <w:rFonts w:hint="eastAsia"/>
                <w:color w:val="auto"/>
                <w:highlight w:val="none"/>
              </w:rPr>
            </w:pPr>
            <w:r>
              <w:rPr>
                <w:rFonts w:hint="eastAsia"/>
                <w:color w:val="auto"/>
                <w:highlight w:val="none"/>
              </w:rPr>
              <w:t>响应文件递交：</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响应递交截止时间：</w:t>
            </w:r>
            <w:r>
              <w:rPr>
                <w:rFonts w:hint="eastAsia" w:ascii="宋体" w:hAnsi="宋体" w:cs="宋体"/>
                <w:color w:val="auto"/>
                <w:szCs w:val="21"/>
                <w:highlight w:val="none"/>
              </w:rPr>
              <w:t>于2025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30分之前将电子磋商响应文件上传到广西政府采购云平台。应按照本项目磋商文件和广西政府采购云平台的要求编制、加密传输磋商响应文件。供应商在使用系统进行投标的过程中遇到涉及平台使用的任何问题，可致电广西政府采购云平台技术支持热线咨询，联系方式：95763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24.1</w:t>
            </w:r>
          </w:p>
        </w:tc>
        <w:tc>
          <w:tcPr>
            <w:tcW w:w="7912" w:type="dxa"/>
            <w:noWrap w:val="0"/>
            <w:vAlign w:val="center"/>
          </w:tcPr>
          <w:p>
            <w:pPr>
              <w:spacing w:line="360" w:lineRule="auto"/>
              <w:jc w:val="left"/>
              <w:rPr>
                <w:rFonts w:hint="eastAsia"/>
                <w:color w:val="auto"/>
                <w:highlight w:val="non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3</w:t>
            </w:r>
            <w:r>
              <w:rPr>
                <w:rFonts w:hint="eastAsia" w:ascii="宋体" w:hAnsi="宋体" w:cs="宋体"/>
                <w:color w:val="auto"/>
                <w:szCs w:val="21"/>
                <w:highlight w:val="none"/>
              </w:rPr>
              <w:t>人。</w:t>
            </w:r>
            <w:r>
              <w:rPr>
                <w:rFonts w:hint="eastAsia"/>
                <w:color w:val="auto"/>
                <w:highlight w:val="none"/>
              </w:rPr>
              <w:t>磋商小组由采购人代表和有关方面的专家组成，其中采购人</w:t>
            </w:r>
            <w:r>
              <w:rPr>
                <w:rFonts w:hint="eastAsia" w:ascii="宋体" w:hAnsi="宋体" w:cs="宋体"/>
                <w:color w:val="auto"/>
                <w:highlight w:val="none"/>
              </w:rPr>
              <w:t>代表1人，专家2人</w:t>
            </w:r>
            <w:r>
              <w:rPr>
                <w:rFonts w:hint="eastAsia"/>
                <w:color w:val="auto"/>
                <w:highlight w:val="none"/>
              </w:rPr>
              <w:t>。</w:t>
            </w:r>
          </w:p>
          <w:p>
            <w:pPr>
              <w:snapToGrid w:val="0"/>
              <w:spacing w:line="360" w:lineRule="auto"/>
              <w:jc w:val="left"/>
              <w:rPr>
                <w:rFonts w:hint="eastAsia" w:ascii="宋体" w:hAnsi="宋体" w:cs="宋体"/>
                <w:color w:val="auto"/>
                <w:szCs w:val="21"/>
                <w:highlight w:val="none"/>
                <w:u w:val="single"/>
              </w:rPr>
            </w:pPr>
            <w:r>
              <w:rPr>
                <w:rFonts w:hint="eastAsia"/>
                <w:color w:val="auto"/>
                <w:highlight w:val="none"/>
              </w:rPr>
              <w:t>专家抽取方式：评审前由采购代理机构从</w:t>
            </w:r>
            <w:r>
              <w:rPr>
                <w:rFonts w:hint="eastAsia" w:cs="宋体"/>
                <w:color w:val="auto"/>
                <w:highlight w:val="none"/>
              </w:rPr>
              <w:t>广西政府采购云平台</w:t>
            </w:r>
            <w:r>
              <w:rPr>
                <w:rFonts w:hint="eastAsia"/>
                <w:color w:val="auto"/>
                <w:highlight w:val="none"/>
              </w:rPr>
              <w:t>评审专家库系统设立的专家库中通过电脑随机抽取。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24.3</w:t>
            </w:r>
          </w:p>
        </w:tc>
        <w:tc>
          <w:tcPr>
            <w:tcW w:w="7912" w:type="dxa"/>
            <w:noWrap w:val="0"/>
            <w:vAlign w:val="center"/>
          </w:tcPr>
          <w:p>
            <w:pPr>
              <w:spacing w:line="360" w:lineRule="auto"/>
              <w:jc w:val="left"/>
              <w:rPr>
                <w:color w:val="auto"/>
                <w:highlight w:val="none"/>
              </w:rPr>
            </w:pPr>
            <w:r>
              <w:rPr>
                <w:rFonts w:hint="eastAsia" w:ascii="宋体" w:hAnsi="宋体"/>
                <w:color w:val="auto"/>
                <w:szCs w:val="21"/>
                <w:highlight w:val="none"/>
              </w:rPr>
              <w:t>响应文件提交截止时间后，采购代理机构开启解密响应文件操作，</w:t>
            </w:r>
            <w:r>
              <w:rPr>
                <w:rFonts w:hint="eastAsia" w:ascii="宋体" w:hAnsi="宋体" w:cs="宋体"/>
                <w:color w:val="auto"/>
                <w:szCs w:val="21"/>
                <w:highlight w:val="none"/>
              </w:rPr>
              <w:t>广西政府采购云平台</w:t>
            </w:r>
            <w:r>
              <w:rPr>
                <w:rFonts w:hint="eastAsia" w:ascii="宋体" w:hAnsi="宋体"/>
                <w:color w:val="auto"/>
                <w:szCs w:val="21"/>
                <w:highlight w:val="none"/>
              </w:rPr>
              <w:t>向各供应商发出电子加密响应文件解密通知，由供应商在系统发出解密通知后30分钟内自行使用加密时的CA通过“项目采购-开标评标”功能对响应文件进行解密。若供应商在上述规定的时间内无法解密或解密失败的，可以在响应文件解密截止时间后30分钟内向采购代理机构现场提交电子备份响应文件【现场提交电子响应文件地址：南宁市青秀区茶花园路6-1号南湖翠苑9楼0928号】或</w:t>
            </w:r>
            <w:r>
              <w:rPr>
                <w:rFonts w:hint="eastAsia" w:ascii="宋体" w:hAnsi="宋体" w:cs="宋体"/>
                <w:color w:val="auto"/>
                <w:highlight w:val="none"/>
              </w:rPr>
              <w:t>以电子邮件的形式（以通知时所告知的电子邮箱地址为准）提交电子备份响应文件</w:t>
            </w:r>
            <w:r>
              <w:rPr>
                <w:rFonts w:hint="eastAsia" w:ascii="宋体" w:hAnsi="宋体"/>
                <w:color w:val="auto"/>
                <w:szCs w:val="21"/>
                <w:highlight w:val="none"/>
              </w:rPr>
              <w:t>，供应商在上述时间以外提交的电子备份响应文件，不予承认。采购代理机构收到电子备份响应文件后按“政府采购云平台”操作规范上传至“</w:t>
            </w:r>
            <w:r>
              <w:rPr>
                <w:rFonts w:hint="eastAsia" w:ascii="宋体" w:hAnsi="宋体" w:cs="宋体"/>
                <w:color w:val="auto"/>
                <w:szCs w:val="21"/>
                <w:highlight w:val="none"/>
              </w:rPr>
              <w:t>广西政府采购云平台</w:t>
            </w:r>
            <w:r>
              <w:rPr>
                <w:rFonts w:hint="eastAsia" w:ascii="宋体" w:hAnsi="宋体"/>
                <w:color w:val="auto"/>
                <w:szCs w:val="21"/>
                <w:highlight w:val="none"/>
              </w:rPr>
              <w:t>，电子备份响应文件上传成功后，供应商原上传的“电子加密响应文件”自动失效。若供应商在规定时间内无法解密或解密失败且未在规定的时间内提供电子备份响应文件的（包含提供的电子备份响应文件无效或无法解密的情况），视为供应商放弃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6.2</w:t>
            </w:r>
          </w:p>
        </w:tc>
        <w:tc>
          <w:tcPr>
            <w:tcW w:w="7912"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采购需求评审中允许负偏离的条款数为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vMerge w:val="continue"/>
            <w:noWrap w:val="0"/>
            <w:vAlign w:val="center"/>
          </w:tcPr>
          <w:p>
            <w:pPr>
              <w:spacing w:line="360" w:lineRule="auto"/>
              <w:jc w:val="center"/>
              <w:rPr>
                <w:rFonts w:hint="eastAsia" w:ascii="宋体" w:hAnsi="宋体" w:cs="宋体"/>
                <w:color w:val="auto"/>
                <w:szCs w:val="21"/>
                <w:highlight w:val="none"/>
              </w:rPr>
            </w:pPr>
          </w:p>
        </w:tc>
        <w:tc>
          <w:tcPr>
            <w:tcW w:w="7912" w:type="dxa"/>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磋商的顺序：</w:t>
            </w:r>
          </w:p>
          <w:p>
            <w:pPr>
              <w:pStyle w:val="10"/>
              <w:spacing w:line="360" w:lineRule="auto"/>
              <w:rPr>
                <w:rFonts w:hint="eastAsia" w:ascii="宋体" w:hAnsi="宋体"/>
                <w:color w:val="auto"/>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按照</w:t>
            </w:r>
            <w:r>
              <w:rPr>
                <w:rFonts w:hint="eastAsia" w:ascii="宋体" w:hAnsi="宋体" w:cs="宋体"/>
                <w:color w:val="auto"/>
                <w:szCs w:val="21"/>
                <w:highlight w:val="none"/>
              </w:rPr>
              <w:t>提交首次响应文件的顺序，通知磋商时，若某供应商不在通知现场时（该供应商排序到最后磋商），按照签到的顺序由其下一位供应商先参与磋商。</w:t>
            </w: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☑随机排序。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磋商时间：响应文件递交截止时间后。</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磋商地点：本项目需要磋商供应商代表在截标当天截标后，按磋商小组要求及时</w:t>
            </w:r>
            <w:r>
              <w:rPr>
                <w:rFonts w:hint="eastAsia" w:ascii="宋体" w:hAnsi="宋体" w:cs="宋体"/>
                <w:color w:val="auto"/>
                <w:szCs w:val="21"/>
                <w:highlight w:val="none"/>
                <w:lang w:eastAsia="zh-CN"/>
              </w:rPr>
              <w:t>登录</w:t>
            </w:r>
            <w:r>
              <w:rPr>
                <w:rFonts w:hint="eastAsia" w:ascii="宋体" w:hAnsi="宋体" w:cs="宋体"/>
                <w:color w:val="auto"/>
                <w:szCs w:val="21"/>
                <w:highlight w:val="none"/>
              </w:rPr>
              <w:t>广西政府采购云平台等候在线磋商。</w:t>
            </w:r>
          </w:p>
          <w:p>
            <w:pPr>
              <w:spacing w:line="360" w:lineRule="auto"/>
              <w:ind w:left="15"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磋商参加人员：供应商法定代表人、负责人、自然人或相应的委托代理人持有效身份证原件和供应商广西政府采购云平台CA数字证书参加磋商。请供应商按时到达指定地点等候磋商。</w:t>
            </w:r>
          </w:p>
          <w:p>
            <w:pPr>
              <w:pStyle w:val="1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响应文件递交截止时间后，由磋商小组在评标室内线上开启响应文件</w:t>
            </w:r>
            <w:r>
              <w:rPr>
                <w:rFonts w:hint="eastAsia" w:ascii="宋体" w:hAnsi="宋体" w:cs="宋体"/>
                <w:b/>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28.1</w:t>
            </w:r>
          </w:p>
        </w:tc>
        <w:tc>
          <w:tcPr>
            <w:tcW w:w="7912" w:type="dxa"/>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履约保证金金额：本项目不收取履约保证金。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29.1</w:t>
            </w:r>
          </w:p>
        </w:tc>
        <w:tc>
          <w:tcPr>
            <w:tcW w:w="7912" w:type="dxa"/>
            <w:noWrap w:val="0"/>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签订合同携带的证明材料：</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1.2</w:t>
            </w:r>
          </w:p>
        </w:tc>
        <w:tc>
          <w:tcPr>
            <w:tcW w:w="7912" w:type="dxa"/>
            <w:noWrap w:val="0"/>
            <w:vAlign w:val="center"/>
          </w:tcPr>
          <w:p>
            <w:pPr>
              <w:spacing w:line="360" w:lineRule="auto"/>
              <w:rPr>
                <w:rFonts w:hint="eastAsia" w:ascii="宋体" w:hAnsi="宋体" w:cs="宋体"/>
                <w:color w:val="auto"/>
                <w:highlight w:val="none"/>
              </w:rPr>
            </w:pPr>
            <w:r>
              <w:rPr>
                <w:rFonts w:hint="eastAsia" w:ascii="宋体" w:hAnsi="宋体" w:cs="宋体"/>
                <w:color w:val="auto"/>
                <w:highlight w:val="none"/>
              </w:rPr>
              <w:t>接收质疑函方式：以书面形式。</w:t>
            </w:r>
          </w:p>
          <w:p>
            <w:pPr>
              <w:widowControl/>
              <w:spacing w:line="440" w:lineRule="exact"/>
              <w:rPr>
                <w:rFonts w:hint="eastAsia" w:ascii="宋体" w:hAnsi="宋体" w:cs="宋体"/>
                <w:color w:val="auto"/>
                <w:highlight w:val="none"/>
              </w:rPr>
            </w:pPr>
            <w:r>
              <w:rPr>
                <w:rFonts w:hint="eastAsia" w:ascii="宋体" w:hAnsi="宋体" w:cs="宋体"/>
                <w:color w:val="auto"/>
                <w:highlight w:val="none"/>
              </w:rPr>
              <w:t>质疑联系部门及联系方式：广西国立工程咨询有限公司，联系电话：18007839625，通讯地址：南宁市青秀区茶花园路6-1号南湖翠苑9楼0928号</w:t>
            </w:r>
          </w:p>
          <w:p>
            <w:pPr>
              <w:spacing w:line="360" w:lineRule="auto"/>
              <w:rPr>
                <w:rFonts w:hint="eastAsia" w:hAnsi="宋体" w:cs="宋体"/>
                <w:color w:val="auto"/>
                <w:highlight w:val="none"/>
              </w:rPr>
            </w:pPr>
            <w:r>
              <w:rPr>
                <w:rFonts w:hint="eastAsia" w:ascii="宋体" w:hAnsi="宋体" w:cs="宋体"/>
                <w:color w:val="auto"/>
                <w:highlight w:val="none"/>
              </w:rPr>
              <w:t>业务时间：上午9时00分到12时00分，下午3时00分到05时30分，业务时间以外、双休日和法定节假日不办理业务。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ascii="宋体" w:hAnsi="宋体" w:cs="宋体"/>
                <w:color w:val="auto"/>
                <w:szCs w:val="21"/>
                <w:highlight w:val="none"/>
              </w:rPr>
              <w:t>32.1</w:t>
            </w:r>
          </w:p>
        </w:tc>
        <w:tc>
          <w:tcPr>
            <w:tcW w:w="7912" w:type="dxa"/>
            <w:noWrap w:val="0"/>
            <w:vAlign w:val="center"/>
          </w:tcPr>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1.采购代理费支付方式：</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□采购人支付。</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2.采购代理费收取标准：</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本项目采购代理服务费参考国家发展计划委员会文件关于印发《招标代理服务收费管理暂行办法》的通知（计价格〔2002〕1980号）和《国家发展改革委关于降低部分建设项目收费标准规范收费行为等有关问题的通知》（发改价格〔2011〕534号）的收费标准计取。</w:t>
            </w:r>
          </w:p>
          <w:p>
            <w:pPr>
              <w:pStyle w:val="20"/>
              <w:snapToGrid w:val="0"/>
              <w:spacing w:line="360" w:lineRule="auto"/>
              <w:rPr>
                <w:rFonts w:hint="eastAsia" w:hAnsi="宋体" w:cs="宋体"/>
                <w:color w:val="auto"/>
                <w:sz w:val="21"/>
                <w:highlight w:val="none"/>
                <w:u w:val="single"/>
              </w:rPr>
            </w:pPr>
            <w:r>
              <w:rPr>
                <w:rFonts w:hint="eastAsia" w:hAnsi="宋体" w:cs="宋体"/>
                <w:color w:val="auto"/>
                <w:sz w:val="21"/>
                <w:highlight w:val="none"/>
              </w:rPr>
              <w:t>□固定采购代理收费</w:t>
            </w:r>
            <w:r>
              <w:rPr>
                <w:rFonts w:hint="eastAsia" w:hAnsi="宋体" w:cs="宋体"/>
                <w:color w:val="auto"/>
                <w:sz w:val="21"/>
                <w:highlight w:val="none"/>
                <w:u w:val="single"/>
              </w:rPr>
              <w:t xml:space="preserve">    /     。</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3.采购代理费收取银行账户</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开户名称：</w:t>
            </w:r>
            <w:r>
              <w:rPr>
                <w:rFonts w:hint="eastAsia" w:ascii="新宋体" w:hAnsi="新宋体" w:eastAsia="新宋体" w:cs="宋体"/>
                <w:color w:val="auto"/>
                <w:sz w:val="21"/>
                <w:highlight w:val="none"/>
              </w:rPr>
              <w:t>广西国立工程咨询有限公司桂林分公司</w:t>
            </w:r>
          </w:p>
          <w:p>
            <w:pPr>
              <w:pStyle w:val="20"/>
              <w:snapToGrid w:val="0"/>
              <w:spacing w:line="360" w:lineRule="auto"/>
              <w:rPr>
                <w:rFonts w:hAnsi="宋体" w:cs="宋体"/>
                <w:color w:val="auto"/>
                <w:sz w:val="21"/>
                <w:highlight w:val="none"/>
              </w:rPr>
            </w:pPr>
            <w:r>
              <w:rPr>
                <w:rFonts w:hint="eastAsia" w:hAnsi="宋体" w:cs="宋体"/>
                <w:color w:val="auto"/>
                <w:sz w:val="21"/>
                <w:highlight w:val="none"/>
              </w:rPr>
              <w:t>开户银行：</w:t>
            </w:r>
            <w:r>
              <w:rPr>
                <w:rFonts w:hint="eastAsia" w:ascii="新宋体" w:hAnsi="新宋体" w:eastAsia="新宋体" w:cs="宋体"/>
                <w:color w:val="auto"/>
                <w:sz w:val="21"/>
                <w:highlight w:val="none"/>
              </w:rPr>
              <w:t>中信银行股份有限公司桂林分行</w:t>
            </w:r>
          </w:p>
          <w:p>
            <w:pPr>
              <w:pStyle w:val="20"/>
              <w:snapToGrid w:val="0"/>
              <w:spacing w:line="360" w:lineRule="auto"/>
              <w:rPr>
                <w:rFonts w:hint="eastAsia" w:hAnsi="宋体" w:cs="宋体"/>
                <w:color w:val="auto"/>
                <w:sz w:val="21"/>
                <w:highlight w:val="none"/>
              </w:rPr>
            </w:pPr>
            <w:r>
              <w:rPr>
                <w:rFonts w:hint="eastAsia" w:hAnsi="宋体" w:cs="宋体"/>
                <w:color w:val="auto"/>
                <w:sz w:val="21"/>
                <w:highlight w:val="none"/>
              </w:rPr>
              <w:t>银行账号：</w:t>
            </w:r>
            <w:r>
              <w:rPr>
                <w:rFonts w:hint="eastAsia" w:ascii="新宋体" w:hAnsi="新宋体" w:eastAsia="新宋体" w:cs="宋体"/>
                <w:color w:val="auto"/>
                <w:sz w:val="21"/>
                <w:highlight w:val="none"/>
              </w:rPr>
              <w:t>8113001014300209034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3.1</w:t>
            </w:r>
          </w:p>
        </w:tc>
        <w:tc>
          <w:tcPr>
            <w:tcW w:w="7912" w:type="dxa"/>
            <w:noWrap w:val="0"/>
            <w:vAlign w:val="center"/>
          </w:tcPr>
          <w:p>
            <w:pPr>
              <w:pStyle w:val="20"/>
              <w:snapToGrid w:val="0"/>
              <w:spacing w:line="360" w:lineRule="auto"/>
              <w:rPr>
                <w:rFonts w:hint="eastAsia" w:hAnsi="宋体" w:cs="宋体"/>
                <w:color w:val="auto"/>
                <w:kern w:val="2"/>
                <w:sz w:val="21"/>
                <w:highlight w:val="none"/>
              </w:rPr>
            </w:pPr>
            <w:r>
              <w:rPr>
                <w:rFonts w:hint="eastAsia" w:hAnsi="宋体"/>
                <w:color w:val="auto"/>
                <w:sz w:val="21"/>
                <w:highlight w:val="none"/>
              </w:rPr>
              <w:t>解释：</w:t>
            </w:r>
            <w:r>
              <w:rPr>
                <w:rFonts w:hAnsi="宋体"/>
                <w:color w:val="auto"/>
                <w:sz w:val="21"/>
                <w:highlight w:val="none"/>
              </w:rPr>
              <w:t>构成本</w:t>
            </w:r>
            <w:r>
              <w:rPr>
                <w:rFonts w:hint="eastAsia" w:hAnsi="宋体"/>
                <w:color w:val="auto"/>
                <w:sz w:val="21"/>
                <w:highlight w:val="none"/>
              </w:rPr>
              <w:t>磋商文件</w:t>
            </w:r>
            <w:r>
              <w:rPr>
                <w:rFonts w:hAnsi="宋体"/>
                <w:color w:val="auto"/>
                <w:sz w:val="21"/>
                <w:highlight w:val="none"/>
              </w:rPr>
              <w:t>的各个组成文件应互为解释，互为说明；除</w:t>
            </w:r>
            <w:r>
              <w:rPr>
                <w:rFonts w:hint="eastAsia" w:hAnsi="宋体"/>
                <w:color w:val="auto"/>
                <w:sz w:val="21"/>
                <w:highlight w:val="none"/>
              </w:rPr>
              <w:t>磋商文件</w:t>
            </w:r>
            <w:r>
              <w:rPr>
                <w:rFonts w:hAnsi="宋体"/>
                <w:color w:val="auto"/>
                <w:sz w:val="21"/>
                <w:highlight w:val="none"/>
              </w:rPr>
              <w:t>中有特别规定外，仅适用于</w:t>
            </w:r>
            <w:r>
              <w:rPr>
                <w:rFonts w:hint="eastAsia" w:hAnsi="宋体"/>
                <w:color w:val="auto"/>
                <w:sz w:val="21"/>
                <w:highlight w:val="none"/>
              </w:rPr>
              <w:t>竞标</w:t>
            </w:r>
            <w:r>
              <w:rPr>
                <w:rFonts w:hAnsi="宋体"/>
                <w:color w:val="auto"/>
                <w:sz w:val="21"/>
                <w:highlight w:val="none"/>
              </w:rPr>
              <w:t>阶段的规定，按</w:t>
            </w:r>
            <w:r>
              <w:rPr>
                <w:rFonts w:hint="eastAsia" w:hAnsi="宋体"/>
                <w:color w:val="auto"/>
                <w:sz w:val="21"/>
                <w:highlight w:val="none"/>
              </w:rPr>
              <w:t>更正公告（澄清公告）</w:t>
            </w:r>
            <w:r>
              <w:rPr>
                <w:rFonts w:hAnsi="宋体"/>
                <w:color w:val="auto"/>
                <w:sz w:val="21"/>
                <w:highlight w:val="none"/>
              </w:rPr>
              <w:t>、</w:t>
            </w:r>
            <w:r>
              <w:rPr>
                <w:rFonts w:hint="eastAsia" w:hAnsi="宋体"/>
                <w:color w:val="auto"/>
                <w:sz w:val="21"/>
                <w:highlight w:val="none"/>
              </w:rPr>
              <w:t>竞争性磋商</w:t>
            </w:r>
            <w:r>
              <w:rPr>
                <w:rFonts w:hAnsi="宋体"/>
                <w:color w:val="auto"/>
                <w:sz w:val="21"/>
                <w:highlight w:val="none"/>
              </w:rPr>
              <w:t>公告、</w:t>
            </w:r>
            <w:r>
              <w:rPr>
                <w:rFonts w:hint="eastAsia" w:hAnsi="宋体"/>
                <w:color w:val="auto"/>
                <w:sz w:val="21"/>
                <w:highlight w:val="none"/>
              </w:rPr>
              <w:t>供应商</w:t>
            </w:r>
            <w:r>
              <w:rPr>
                <w:rFonts w:hAnsi="宋体"/>
                <w:color w:val="auto"/>
                <w:sz w:val="21"/>
                <w:highlight w:val="none"/>
              </w:rPr>
              <w:t>须知</w:t>
            </w:r>
            <w:r>
              <w:rPr>
                <w:rFonts w:hint="eastAsia" w:hAnsi="宋体"/>
                <w:color w:val="auto"/>
                <w:sz w:val="21"/>
                <w:highlight w:val="none"/>
              </w:rPr>
              <w:t>、采购需求</w:t>
            </w:r>
            <w:r>
              <w:rPr>
                <w:rFonts w:hAnsi="宋体"/>
                <w:color w:val="auto"/>
                <w:sz w:val="21"/>
                <w:highlight w:val="none"/>
              </w:rPr>
              <w:t>、</w:t>
            </w:r>
            <w:r>
              <w:rPr>
                <w:rFonts w:hint="eastAsia"/>
                <w:color w:val="auto"/>
                <w:sz w:val="21"/>
                <w:highlight w:val="none"/>
              </w:rPr>
              <w:t>评审程序、评审方法和评审标准</w:t>
            </w:r>
            <w:r>
              <w:rPr>
                <w:rFonts w:hAnsi="宋体"/>
                <w:color w:val="auto"/>
                <w:sz w:val="21"/>
                <w:highlight w:val="none"/>
              </w:rPr>
              <w:t>、</w:t>
            </w:r>
            <w:r>
              <w:rPr>
                <w:rFonts w:hint="eastAsia" w:hAnsi="宋体"/>
                <w:color w:val="auto"/>
                <w:sz w:val="21"/>
                <w:highlight w:val="none"/>
              </w:rPr>
              <w:t>响应</w:t>
            </w:r>
            <w:r>
              <w:rPr>
                <w:rFonts w:hAnsi="宋体"/>
                <w:color w:val="auto"/>
                <w:sz w:val="21"/>
                <w:highlight w:val="none"/>
              </w:rPr>
              <w:t>文件格式</w:t>
            </w:r>
            <w:r>
              <w:rPr>
                <w:rFonts w:hint="eastAsia" w:hAnsi="宋体"/>
                <w:color w:val="auto"/>
                <w:sz w:val="21"/>
                <w:highlight w:val="none"/>
              </w:rPr>
              <w:t>、合同文本</w:t>
            </w:r>
            <w:r>
              <w:rPr>
                <w:rFonts w:hAnsi="宋体"/>
                <w:color w:val="auto"/>
                <w:sz w:val="21"/>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sz w:val="21"/>
                <w:highlight w:val="none"/>
              </w:rPr>
              <w:t>更正公告（澄清公告）</w:t>
            </w:r>
            <w:r>
              <w:rPr>
                <w:rFonts w:hAnsi="宋体"/>
                <w:color w:val="auto"/>
                <w:sz w:val="21"/>
                <w:highlight w:val="none"/>
              </w:rPr>
              <w:t>与同步更新的</w:t>
            </w:r>
            <w:r>
              <w:rPr>
                <w:rFonts w:hint="eastAsia" w:hAnsi="宋体"/>
                <w:color w:val="auto"/>
                <w:sz w:val="21"/>
                <w:highlight w:val="none"/>
              </w:rPr>
              <w:t>磋商文件</w:t>
            </w:r>
            <w:r>
              <w:rPr>
                <w:rFonts w:hAnsi="宋体"/>
                <w:color w:val="auto"/>
                <w:sz w:val="21"/>
                <w:highlight w:val="none"/>
              </w:rPr>
              <w:t>不一致时以</w:t>
            </w:r>
            <w:r>
              <w:rPr>
                <w:rFonts w:hint="eastAsia" w:hAnsi="宋体"/>
                <w:color w:val="auto"/>
                <w:sz w:val="21"/>
                <w:highlight w:val="none"/>
              </w:rPr>
              <w:t>更正公告（澄清公告）</w:t>
            </w:r>
            <w:r>
              <w:rPr>
                <w:rFonts w:hAnsi="宋体"/>
                <w:color w:val="auto"/>
                <w:sz w:val="21"/>
                <w:highlight w:val="none"/>
              </w:rPr>
              <w:t>为准。按本款前述规定仍不能形成结论的，由</w:t>
            </w:r>
            <w:r>
              <w:rPr>
                <w:rFonts w:hint="eastAsia" w:hAnsi="宋体"/>
                <w:color w:val="auto"/>
                <w:sz w:val="21"/>
                <w:highlight w:val="none"/>
              </w:rPr>
              <w:t>采购</w:t>
            </w:r>
            <w:r>
              <w:rPr>
                <w:rFonts w:hAnsi="宋体"/>
                <w:color w:val="auto"/>
                <w:sz w:val="21"/>
                <w:highlight w:val="none"/>
              </w:rPr>
              <w:t>人</w:t>
            </w:r>
            <w:r>
              <w:rPr>
                <w:rFonts w:hint="eastAsia" w:hAnsi="宋体"/>
                <w:color w:val="auto"/>
                <w:sz w:val="21"/>
                <w:highlight w:val="none"/>
              </w:rPr>
              <w:t>或者采购代理机构</w:t>
            </w:r>
            <w:r>
              <w:rPr>
                <w:rFonts w:hAnsi="宋体"/>
                <w:color w:val="auto"/>
                <w:sz w:val="21"/>
                <w:highlight w:val="none"/>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pStyle w:val="20"/>
              <w:snapToGrid w:val="0"/>
              <w:spacing w:line="360" w:lineRule="auto"/>
              <w:rPr>
                <w:rFonts w:hAnsi="宋体"/>
                <w:color w:val="auto"/>
                <w:sz w:val="21"/>
                <w:highlight w:val="none"/>
              </w:rPr>
            </w:pPr>
            <w:r>
              <w:rPr>
                <w:rFonts w:hAnsi="宋体"/>
                <w:color w:val="auto"/>
                <w:sz w:val="21"/>
                <w:highlight w:val="none"/>
              </w:rPr>
              <w:t>33.2</w:t>
            </w:r>
          </w:p>
        </w:tc>
        <w:tc>
          <w:tcPr>
            <w:tcW w:w="7912" w:type="dxa"/>
            <w:noWrap w:val="0"/>
            <w:vAlign w:val="center"/>
          </w:tcPr>
          <w:p>
            <w:pPr>
              <w:pStyle w:val="20"/>
              <w:snapToGrid w:val="0"/>
              <w:spacing w:line="360" w:lineRule="auto"/>
              <w:rPr>
                <w:rFonts w:hAnsi="宋体"/>
                <w:color w:val="auto"/>
                <w:sz w:val="21"/>
                <w:highlight w:val="none"/>
              </w:rPr>
            </w:pPr>
            <w:r>
              <w:rPr>
                <w:rFonts w:hAnsi="宋体"/>
                <w:color w:val="auto"/>
                <w:sz w:val="21"/>
                <w:highlight w:val="none"/>
              </w:rPr>
              <w:t>1.本磋商文件中描述供应商的“公章”是指根据我国对公章的管理规定，用供应商法定主体行为名称制作的印章（或CA签章），除本磋商文件有特殊规定外，供应商的财务章、部门章、分公司章、工会章、合同章、竞标/投标专用章、业务专用章及银行的转账章、现金收讫章、现金付讫章等其他形式印章均不能代替公章（或CA签章）。</w:t>
            </w:r>
          </w:p>
          <w:p>
            <w:pPr>
              <w:pStyle w:val="20"/>
              <w:snapToGrid w:val="0"/>
              <w:spacing w:line="360" w:lineRule="auto"/>
              <w:rPr>
                <w:rFonts w:hAnsi="宋体"/>
                <w:color w:val="auto"/>
                <w:sz w:val="21"/>
                <w:highlight w:val="none"/>
              </w:rPr>
            </w:pPr>
            <w:r>
              <w:rPr>
                <w:rFonts w:hAnsi="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20"/>
              <w:snapToGrid w:val="0"/>
              <w:spacing w:line="360" w:lineRule="auto"/>
              <w:rPr>
                <w:rFonts w:hAnsi="宋体"/>
                <w:color w:val="auto"/>
                <w:sz w:val="21"/>
                <w:highlight w:val="none"/>
              </w:rPr>
            </w:pPr>
            <w:r>
              <w:rPr>
                <w:rFonts w:hint="eastAsia" w:hAnsi="宋体"/>
                <w:color w:val="auto"/>
                <w:sz w:val="21"/>
                <w:highlight w:val="none"/>
              </w:rPr>
              <w:t>3</w:t>
            </w:r>
            <w:r>
              <w:rPr>
                <w:rFonts w:hAnsi="宋体"/>
                <w:color w:val="auto"/>
                <w:sz w:val="21"/>
                <w:highlight w:val="none"/>
              </w:rPr>
              <w:t>.自然人竞标的，磋商文件规定盖公章处由自然人摁手指指印。</w:t>
            </w:r>
          </w:p>
          <w:p>
            <w:pPr>
              <w:pStyle w:val="20"/>
              <w:snapToGrid w:val="0"/>
              <w:spacing w:line="360" w:lineRule="auto"/>
              <w:rPr>
                <w:rFonts w:hAnsi="宋体"/>
                <w:color w:val="auto"/>
                <w:sz w:val="21"/>
                <w:highlight w:val="none"/>
              </w:rPr>
            </w:pPr>
            <w:r>
              <w:rPr>
                <w:rFonts w:hint="eastAsia" w:hAnsi="宋体"/>
                <w:color w:val="auto"/>
                <w:sz w:val="21"/>
                <w:highlight w:val="none"/>
              </w:rPr>
              <w:t>4</w:t>
            </w:r>
            <w:r>
              <w:rPr>
                <w:rFonts w:hAnsi="宋体"/>
                <w:color w:val="auto"/>
                <w:sz w:val="21"/>
                <w:highlight w:val="none"/>
              </w:rPr>
              <w:t>.本磋商文件所称的“以上”“以下”“以内”“届满”，包括本数；所称的“不满”“超过”“以外”，不包括本数。</w:t>
            </w:r>
          </w:p>
          <w:p>
            <w:pPr>
              <w:pStyle w:val="20"/>
              <w:snapToGrid w:val="0"/>
              <w:spacing w:line="360" w:lineRule="auto"/>
              <w:rPr>
                <w:rFonts w:hint="eastAsia" w:hAnsi="宋体"/>
                <w:color w:val="auto"/>
                <w:sz w:val="21"/>
                <w:highlight w:val="none"/>
              </w:rPr>
            </w:pPr>
            <w:r>
              <w:rPr>
                <w:rFonts w:hint="eastAsia" w:hAnsi="宋体"/>
                <w:color w:val="auto"/>
                <w:sz w:val="21"/>
                <w:highlight w:val="none"/>
              </w:rPr>
              <w:t>5</w:t>
            </w:r>
            <w:r>
              <w:rPr>
                <w:rFonts w:hAnsi="宋体"/>
                <w:color w:val="auto"/>
                <w:sz w:val="21"/>
                <w:highlight w:val="none"/>
              </w:rPr>
              <w:t>.监督部门：广西壮族自治区财政厅     电话：</w:t>
            </w:r>
            <w:r>
              <w:rPr>
                <w:rFonts w:hint="eastAsia" w:hAnsi="宋体"/>
                <w:color w:val="auto"/>
                <w:sz w:val="21"/>
                <w:highlight w:val="none"/>
              </w:rPr>
              <w:t>0</w:t>
            </w:r>
            <w:r>
              <w:rPr>
                <w:rFonts w:hAnsi="宋体"/>
                <w:color w:val="auto"/>
                <w:sz w:val="21"/>
                <w:highlight w:val="none"/>
              </w:rPr>
              <w:t>771-5331544</w:t>
            </w:r>
          </w:p>
        </w:tc>
      </w:tr>
    </w:tbl>
    <w:p>
      <w:pPr>
        <w:spacing w:line="360" w:lineRule="auto"/>
        <w:jc w:val="center"/>
        <w:rPr>
          <w:rFonts w:hint="eastAsia" w:ascii="宋体" w:hAnsi="宋体"/>
          <w:b/>
          <w:color w:val="auto"/>
          <w:sz w:val="32"/>
          <w:szCs w:val="32"/>
          <w:highlight w:val="none"/>
        </w:rPr>
      </w:pPr>
      <w:r>
        <w:rPr>
          <w:rFonts w:ascii="宋体" w:hAnsi="宋体"/>
          <w:b/>
          <w:color w:val="auto"/>
          <w:sz w:val="32"/>
          <w:szCs w:val="32"/>
          <w:highlight w:val="none"/>
        </w:rPr>
        <w:br w:type="page"/>
      </w:r>
      <w:r>
        <w:rPr>
          <w:rFonts w:hint="eastAsia" w:ascii="宋体" w:hAnsi="宋体"/>
          <w:b/>
          <w:color w:val="auto"/>
          <w:sz w:val="32"/>
          <w:szCs w:val="32"/>
          <w:highlight w:val="none"/>
        </w:rPr>
        <w:t>供应商须知正文</w:t>
      </w:r>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一、总则</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1.适用范围</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w:t>
      </w:r>
      <w:r>
        <w:rPr>
          <w:rFonts w:hint="eastAsia" w:ascii="宋体" w:hAnsi="宋体"/>
          <w:color w:val="auto"/>
          <w:szCs w:val="21"/>
          <w:highlight w:val="none"/>
        </w:rPr>
        <w:t>《政府采购竞争性磋商采购方式管理暂行办法》《财政部关于政府采购竞争性磋商采购方式管理暂行办法有关问题的补充通知》</w:t>
      </w:r>
      <w:r>
        <w:rPr>
          <w:rFonts w:hint="eastAsia" w:ascii="宋体" w:hAnsi="宋体" w:cs="宋体"/>
          <w:color w:val="auto"/>
          <w:szCs w:val="21"/>
          <w:highlight w:val="none"/>
        </w:rPr>
        <w:t>及本项目本级和上级财政部门政府采购有关规定的约束和保护。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2.定义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2.4“服务”是指除货物和工程以外的其他政府采购对象。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5</w:t>
      </w:r>
      <w:r>
        <w:rPr>
          <w:rFonts w:hint="eastAsia" w:ascii="宋体" w:hAnsi="宋体" w:cs="宋体"/>
          <w:color w:val="auto"/>
          <w:szCs w:val="21"/>
          <w:highlight w:val="none"/>
        </w:rPr>
        <w:t>“竞标”是指供应商按照本项目竞争性磋商公告或者邀请函规定的方式获取磋商文件、提交响应文件并希望获得标的的行为。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“响应文件”</w:t>
      </w:r>
      <w:r>
        <w:rPr>
          <w:rFonts w:hint="eastAsia" w:ascii="宋体" w:hAnsi="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w:t>
      </w:r>
      <w:r>
        <w:rPr>
          <w:rFonts w:hint="eastAsia" w:ascii="宋体" w:hAnsi="宋体" w:cs="宋体"/>
          <w:color w:val="auto"/>
          <w:szCs w:val="21"/>
          <w:highlight w:val="none"/>
        </w:rPr>
        <w:t>“实质性要求”是指磋商文件中已经指明不满足则响应文件按无效响应处理的条款，或者不能负偏离的条款，或者采购需求中带“▲”的条款。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8</w:t>
      </w:r>
      <w:r>
        <w:rPr>
          <w:rFonts w:hint="eastAsia" w:ascii="宋体" w:hAnsi="宋体" w:cs="宋体"/>
          <w:color w:val="auto"/>
          <w:szCs w:val="21"/>
          <w:highlight w:val="none"/>
        </w:rPr>
        <w:t>“正偏离”，是指响应文件对磋商文件“采购需求”中有关条款作出的响应优于条款要求并有利于采购人的情形。</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11</w:t>
      </w:r>
      <w:r>
        <w:rPr>
          <w:rFonts w:hint="eastAsia" w:ascii="宋体" w:hAnsi="宋体" w:cs="宋体"/>
          <w:color w:val="auto"/>
          <w:szCs w:val="21"/>
          <w:highlight w:val="none"/>
        </w:rPr>
        <w:t>“书面形式”是指合同书、信件和数据电文（包括电报、电传、传真、电子数据交换和电子邮件）等可以有形地表现所载内容的形式。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12</w:t>
      </w:r>
      <w:r>
        <w:rPr>
          <w:rFonts w:hint="eastAsia" w:ascii="宋体" w:hAnsi="宋体" w:cs="宋体"/>
          <w:color w:val="auto"/>
          <w:szCs w:val="21"/>
          <w:highlight w:val="none"/>
        </w:rPr>
        <w:t>“首次报价”是指供应商提交的首次响应文件中的报价。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3</w:t>
      </w:r>
      <w:r>
        <w:rPr>
          <w:rFonts w:hint="eastAsia" w:ascii="宋体" w:hAnsi="宋体" w:cs="宋体"/>
          <w:color w:val="auto"/>
          <w:szCs w:val="21"/>
          <w:highlight w:val="none"/>
        </w:rPr>
        <w:t>“评审价”是指供应商提交的最后报价并经修正（如有）和政策功能价格扣除（如有）后的价格。</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3.供应商的资格条件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4.竞标费用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根据《政府采购促进中小企业发展管理办法》（财库〔2020〕46号）、《广西壮族自治区财政厅关于贯彻落实政府采购支持中小企业发展政策的通知》（桂财采〔2022〕31号）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的大中型企业和其他自然人、法人或者其他组织，与小型、微型企业之间不得存在投资关系。</w:t>
      </w:r>
    </w:p>
    <w:p>
      <w:pPr>
        <w:spacing w:line="360" w:lineRule="auto"/>
        <w:ind w:firstLine="481" w:firstLineChars="200"/>
        <w:rPr>
          <w:rFonts w:hint="eastAsia" w:ascii="黑体" w:hAnsi="黑体" w:eastAsia="黑体" w:cs="宋体"/>
          <w:b/>
          <w:bCs/>
          <w:color w:val="auto"/>
          <w:sz w:val="24"/>
          <w:highlight w:val="none"/>
        </w:rPr>
      </w:pPr>
      <w:r>
        <w:rPr>
          <w:rFonts w:hint="eastAsia" w:ascii="宋体" w:hAnsi="宋体" w:cs="宋体"/>
          <w:b/>
          <w:bCs/>
          <w:color w:val="auto"/>
          <w:sz w:val="24"/>
          <w:highlight w:val="none"/>
        </w:rPr>
        <w:t>6.转包与分包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spacing w:line="360" w:lineRule="auto"/>
        <w:ind w:firstLine="481" w:firstLineChars="200"/>
        <w:rPr>
          <w:rFonts w:hint="eastAsia" w:ascii="宋体" w:hAnsi="宋体" w:cs="宋体"/>
          <w:b/>
          <w:bCs/>
          <w:color w:val="auto"/>
          <w:sz w:val="24"/>
          <w:highlight w:val="none"/>
        </w:rPr>
      </w:pPr>
      <w:bookmarkStart w:id="100" w:name="_Toc254970673"/>
      <w:bookmarkStart w:id="101" w:name="_Toc254970532"/>
      <w:r>
        <w:rPr>
          <w:rFonts w:hint="eastAsia" w:ascii="宋体" w:hAnsi="宋体" w:cs="宋体"/>
          <w:b/>
          <w:bCs/>
          <w:color w:val="auto"/>
          <w:sz w:val="24"/>
          <w:highlight w:val="none"/>
        </w:rPr>
        <w:t>7.特别说明</w:t>
      </w:r>
      <w:bookmarkEnd w:id="100"/>
      <w:bookmarkEnd w:id="101"/>
    </w:p>
    <w:p>
      <w:pPr>
        <w:spacing w:line="360" w:lineRule="auto"/>
        <w:ind w:firstLine="420" w:firstLineChars="200"/>
        <w:rPr>
          <w:rFonts w:hint="eastAsia" w:ascii="宋体" w:hAnsi="宋体" w:cs="宋体"/>
          <w:color w:val="auto"/>
          <w:szCs w:val="21"/>
          <w:highlight w:val="none"/>
        </w:rPr>
      </w:pPr>
      <w:bookmarkStart w:id="102" w:name="_8.1提供相同品牌产品且通过资格审查、符合性审查的不同投标人参加同一合"/>
      <w:bookmarkEnd w:id="102"/>
      <w:r>
        <w:rPr>
          <w:rFonts w:hint="eastAsia" w:ascii="宋体" w:hAnsi="宋体" w:cs="宋体"/>
          <w:color w:val="auto"/>
          <w:szCs w:val="21"/>
          <w:highlight w:val="none"/>
        </w:rPr>
        <w:t>7.</w:t>
      </w:r>
      <w:r>
        <w:rPr>
          <w:rFonts w:ascii="宋体" w:hAnsi="宋体" w:cs="宋体"/>
          <w:color w:val="auto"/>
          <w:szCs w:val="21"/>
          <w:highlight w:val="none"/>
        </w:rPr>
        <w:t>1</w:t>
      </w:r>
      <w:r>
        <w:rPr>
          <w:rFonts w:hint="eastAsia" w:ascii="宋体" w:hAnsi="宋体"/>
          <w:color w:val="auto"/>
          <w:szCs w:val="21"/>
          <w:highlight w:val="none"/>
        </w:rPr>
        <w:t>如果本磋商文件要求供应商提供资格、信誉、荣誉、业绩与企业认证等材料的，则供应商所提供的以上材料必须为供应商所拥有</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2</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4</w:t>
      </w:r>
      <w:r>
        <w:rPr>
          <w:rFonts w:hint="eastAsia" w:ascii="宋体" w:hAnsi="宋体" w:cs="宋体"/>
          <w:color w:val="auto"/>
          <w:szCs w:val="21"/>
          <w:highlight w:val="none"/>
        </w:rPr>
        <w:t>在政府采购活动中，采购人员及相关人员与供应商有下列利害关系之一的，应当回避：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5</w:t>
      </w:r>
      <w:r>
        <w:rPr>
          <w:rFonts w:hint="eastAsia" w:ascii="宋体" w:hAnsi="宋体" w:cs="宋体"/>
          <w:color w:val="auto"/>
          <w:szCs w:val="21"/>
          <w:highlight w:val="none"/>
        </w:rPr>
        <w:t>有下列情形之一的视为供应商相互串通竞标，响应文件将被视为无效：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ascii="宋体" w:hAnsi="宋体" w:cs="宋体"/>
          <w:color w:val="auto"/>
          <w:szCs w:val="21"/>
          <w:highlight w:val="none"/>
        </w:rPr>
        <w:tab/>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6</w:t>
      </w:r>
      <w:r>
        <w:rPr>
          <w:rFonts w:hint="eastAsia" w:ascii="宋体" w:hAnsi="宋体" w:cs="宋体"/>
          <w:color w:val="auto"/>
          <w:szCs w:val="21"/>
          <w:highlight w:val="none"/>
        </w:rPr>
        <w:t>供应商有下列情形之一的，属于恶意串通行为，将报同级监督管理部门：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pPr>
        <w:spacing w:line="360" w:lineRule="auto"/>
        <w:jc w:val="center"/>
        <w:rPr>
          <w:rFonts w:hint="eastAsia" w:ascii="宋体" w:hAnsi="宋体" w:cs="宋体"/>
          <w:b/>
          <w:bCs/>
          <w:color w:val="auto"/>
          <w:sz w:val="32"/>
          <w:szCs w:val="32"/>
          <w:highlight w:val="none"/>
        </w:rPr>
      </w:pPr>
      <w:bookmarkStart w:id="103" w:name="_Toc254970675"/>
      <w:bookmarkStart w:id="104" w:name="_Toc254970534"/>
      <w:r>
        <w:rPr>
          <w:rFonts w:hint="eastAsia" w:ascii="宋体" w:hAnsi="宋体" w:cs="宋体"/>
          <w:b/>
          <w:bCs/>
          <w:color w:val="auto"/>
          <w:sz w:val="32"/>
          <w:szCs w:val="32"/>
          <w:highlight w:val="none"/>
        </w:rPr>
        <w:t>二、磋商文件</w:t>
      </w:r>
      <w:bookmarkEnd w:id="103"/>
      <w:bookmarkEnd w:id="104"/>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8.磋商文件的构成</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（1）竞争性磋商公告；</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（2）供应商须知；</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（3）采购需求；</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（4）评审程序、评审方法和评审标准；</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（5）响应文件格式；</w:t>
      </w:r>
    </w:p>
    <w:p>
      <w:pPr>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（6）合同文本。</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供应商应认真阅读磋商文件的采购需求，如供应商对磋商文件有疑问的，如要求采购人作出澄清或者修改的，供应商尽可能在</w:t>
      </w:r>
      <w:r>
        <w:rPr>
          <w:rFonts w:ascii="宋体" w:hAnsi="宋体"/>
          <w:color w:val="auto"/>
          <w:szCs w:val="21"/>
          <w:highlight w:val="none"/>
        </w:rPr>
        <w:t>提交首次响应文件截止之日前</w:t>
      </w:r>
      <w:r>
        <w:rPr>
          <w:rFonts w:hint="eastAsia" w:ascii="宋体" w:hAnsi="宋体"/>
          <w:color w:val="auto"/>
          <w:szCs w:val="21"/>
          <w:highlight w:val="none"/>
        </w:rPr>
        <w:t>，以书面形式向</w:t>
      </w:r>
      <w:r>
        <w:rPr>
          <w:rFonts w:ascii="宋体" w:hAnsi="宋体"/>
          <w:color w:val="auto"/>
          <w:szCs w:val="21"/>
          <w:highlight w:val="none"/>
        </w:rPr>
        <w:t>采购人、采购代理机构</w:t>
      </w:r>
      <w:r>
        <w:rPr>
          <w:rFonts w:hint="eastAsia" w:ascii="宋体" w:hAnsi="宋体"/>
          <w:color w:val="auto"/>
          <w:szCs w:val="21"/>
          <w:highlight w:val="none"/>
        </w:rPr>
        <w:t>提出。</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10.磋商文件的澄清和修改</w:t>
      </w:r>
    </w:p>
    <w:p>
      <w:pPr>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hint="eastAsia" w:ascii="宋体" w:hAnsi="宋体"/>
          <w:color w:val="auto"/>
          <w:szCs w:val="21"/>
          <w:highlight w:val="none"/>
        </w:rPr>
        <w:t>5</w:t>
      </w:r>
      <w:r>
        <w:rPr>
          <w:rFonts w:ascii="宋体" w:hAnsi="宋体"/>
          <w:color w:val="auto"/>
          <w:szCs w:val="21"/>
          <w:highlight w:val="none"/>
        </w:rPr>
        <w:t>日前，通知所有</w:t>
      </w:r>
      <w:r>
        <w:rPr>
          <w:rFonts w:hint="eastAsia" w:ascii="宋体" w:hAnsi="宋体"/>
          <w:color w:val="auto"/>
          <w:szCs w:val="21"/>
          <w:highlight w:val="none"/>
        </w:rPr>
        <w:t>获取</w:t>
      </w:r>
      <w:r>
        <w:rPr>
          <w:rFonts w:ascii="宋体" w:hAnsi="宋体"/>
          <w:color w:val="auto"/>
          <w:szCs w:val="21"/>
          <w:highlight w:val="none"/>
        </w:rPr>
        <w:t>磋商文件的供应商，不足</w:t>
      </w:r>
      <w:r>
        <w:rPr>
          <w:rFonts w:hint="eastAsia" w:ascii="宋体" w:hAnsi="宋体"/>
          <w:color w:val="auto"/>
          <w:szCs w:val="21"/>
          <w:highlight w:val="none"/>
        </w:rPr>
        <w:t>5</w:t>
      </w:r>
      <w:r>
        <w:rPr>
          <w:rFonts w:ascii="宋体" w:hAnsi="宋体"/>
          <w:color w:val="auto"/>
          <w:szCs w:val="21"/>
          <w:highlight w:val="none"/>
        </w:rPr>
        <w:t>日的，应当顺延提交首次响应文件截止之日。</w:t>
      </w:r>
    </w:p>
    <w:p>
      <w:p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rPr>
        <w:t>三、响应文件的编制</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12.1响应文件由资格证明文件、报价商务技术文件两部分组成。</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2.1.1</w:t>
      </w:r>
      <w:r>
        <w:rPr>
          <w:rFonts w:hint="eastAsia" w:ascii="宋体" w:hAnsi="宋体" w:cs="宋体"/>
          <w:color w:val="auto"/>
          <w:szCs w:val="21"/>
          <w:highlight w:val="none"/>
        </w:rPr>
        <w:t>资格证明文件：详见须知前附表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2.1.2</w:t>
      </w:r>
      <w:r>
        <w:rPr>
          <w:rFonts w:hint="eastAsia" w:ascii="宋体" w:hAnsi="宋体" w:cs="宋体"/>
          <w:color w:val="auto"/>
          <w:szCs w:val="21"/>
          <w:highlight w:val="none"/>
        </w:rPr>
        <w:t>报价商务技术文件：详见须知前附表</w:t>
      </w:r>
    </w:p>
    <w:p>
      <w:pPr>
        <w:spacing w:line="360" w:lineRule="auto"/>
        <w:ind w:left="840" w:leftChars="200" w:hanging="420" w:hangingChars="200"/>
        <w:rPr>
          <w:rFonts w:hint="eastAsia" w:ascii="宋体" w:hAnsi="宋体" w:cs="宋体"/>
          <w:color w:val="auto"/>
          <w:szCs w:val="21"/>
          <w:highlight w:val="none"/>
        </w:rPr>
      </w:pPr>
      <w:r>
        <w:rPr>
          <w:rFonts w:hint="eastAsia" w:ascii="宋体" w:hAnsi="宋体" w:cs="宋体"/>
          <w:color w:val="auto"/>
          <w:szCs w:val="21"/>
          <w:highlight w:val="none"/>
        </w:rPr>
        <w:t>12.</w:t>
      </w:r>
      <w:r>
        <w:rPr>
          <w:rFonts w:ascii="宋体" w:hAnsi="宋体" w:cs="宋体"/>
          <w:color w:val="auto"/>
          <w:szCs w:val="21"/>
          <w:highlight w:val="none"/>
        </w:rPr>
        <w:t>2</w:t>
      </w:r>
      <w:r>
        <w:rPr>
          <w:rFonts w:hint="eastAsia" w:ascii="宋体" w:hAnsi="宋体" w:cs="宋体"/>
          <w:color w:val="auto"/>
          <w:szCs w:val="21"/>
          <w:highlight w:val="none"/>
        </w:rPr>
        <w:t>电子竞争性磋商响应文件的制作：详见须知前附表</w:t>
      </w:r>
    </w:p>
    <w:p>
      <w:pPr>
        <w:spacing w:line="360" w:lineRule="auto"/>
        <w:ind w:firstLine="420"/>
        <w:rPr>
          <w:rFonts w:hint="eastAsia" w:ascii="宋体" w:hAnsi="宋体" w:cs="宋体"/>
          <w:b/>
          <w:bCs/>
          <w:color w:val="auto"/>
          <w:highlight w:val="none"/>
        </w:rPr>
      </w:pPr>
      <w:r>
        <w:rPr>
          <w:rFonts w:hint="eastAsia" w:ascii="宋体" w:hAnsi="宋体" w:cs="宋体"/>
          <w:b/>
          <w:bCs/>
          <w:color w:val="auto"/>
          <w:szCs w:val="21"/>
          <w:highlight w:val="none"/>
        </w:rPr>
        <w:t>供应商</w:t>
      </w:r>
      <w:r>
        <w:rPr>
          <w:rFonts w:hint="eastAsia" w:ascii="宋体" w:hAnsi="宋体" w:cs="宋体"/>
          <w:b/>
          <w:bCs/>
          <w:color w:val="auto"/>
          <w:highlight w:val="none"/>
        </w:rPr>
        <w:t>提供的以上相关证明材料属于“必须提供”的文件应加盖磋商供应商公章（CA签章）/自然人签字或个人CA签章，否则响应无效。</w:t>
      </w:r>
    </w:p>
    <w:p>
      <w:pPr>
        <w:spacing w:line="360" w:lineRule="auto"/>
        <w:ind w:firstLine="421"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特别说明：</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bCs/>
          <w:color w:val="auto"/>
          <w:szCs w:val="21"/>
          <w:highlight w:val="none"/>
        </w:rPr>
        <w:t>响</w:t>
      </w:r>
      <w:r>
        <w:rPr>
          <w:rFonts w:hint="eastAsia" w:ascii="宋体" w:hAnsi="宋体" w:cs="宋体"/>
          <w:b/>
          <w:color w:val="auto"/>
          <w:szCs w:val="21"/>
          <w:highlight w:val="none"/>
        </w:rPr>
        <w:t>应文件（电子响应文件），其中电子响应文件中所须加盖公章部分均采用CA签章。若磋商文件中有专门标注的某关联点，并要求供应商在电子投标系统中作出磋商响应的，如供应商未对关联点进行响应或者在响应文件其它内容进行描述，造成电子评审不能查询的责任由供应商自行承担。</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 磋商文件没有规定的，应采用中华人民共和国法定计量单位，货币种类为人民币，否则视同未响应。</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15.竞标报价要求和构成</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pPr>
        <w:spacing w:line="360" w:lineRule="auto"/>
        <w:ind w:left="426" w:leftChars="203"/>
        <w:rPr>
          <w:rFonts w:hint="eastAsia" w:ascii="宋体" w:hAnsi="宋体" w:cs="宋体"/>
          <w:color w:val="auto"/>
          <w:szCs w:val="21"/>
          <w:highlight w:val="none"/>
        </w:rPr>
      </w:pPr>
      <w:r>
        <w:rPr>
          <w:rFonts w:hint="eastAsia" w:ascii="宋体" w:hAnsi="宋体" w:cs="宋体"/>
          <w:color w:val="auto"/>
          <w:szCs w:val="21"/>
          <w:highlight w:val="none"/>
        </w:rPr>
        <w:t>15.3竞标报价要求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5.3.1</w:t>
      </w:r>
      <w:r>
        <w:rPr>
          <w:rFonts w:hint="eastAsia" w:ascii="宋体" w:hAnsi="宋体" w:cs="宋体"/>
          <w:color w:val="auto"/>
          <w:szCs w:val="21"/>
          <w:highlight w:val="none"/>
        </w:rPr>
        <w:t>供应商的竞标报价应符合以下要求，否则响应文件按无效响应处理：</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）供应商必须就所竞标的分标的单项内容作唯一报价。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2</w:t>
      </w:r>
      <w:r>
        <w:rPr>
          <w:rFonts w:hint="eastAsia" w:ascii="宋体" w:hAnsi="宋体" w:cs="宋体"/>
          <w:color w:val="auto"/>
          <w:szCs w:val="21"/>
          <w:highlight w:val="none"/>
        </w:rPr>
        <w:t>竞标报价（包含首次报价、最后报价）超过所竞标分标规定的采购预算金额或者最高限价的，其响应文件将作无效处理。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w:t>
      </w:r>
      <w:r>
        <w:rPr>
          <w:rFonts w:ascii="宋体" w:hAnsi="宋体" w:cs="宋体"/>
          <w:color w:val="auto"/>
          <w:szCs w:val="21"/>
          <w:highlight w:val="none"/>
        </w:rPr>
        <w:t>3</w:t>
      </w:r>
      <w:bookmarkStart w:id="105"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105"/>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16.2竞标有效期应由供应商按“供应商须知前附表”规定的期限作出响应。</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17.磋商保证金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成交供应商的磋商保证金自成交通知书发出之日起4个工作日内退还，退还方式如下：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pPr>
        <w:pStyle w:val="8"/>
        <w:spacing w:line="360" w:lineRule="auto"/>
        <w:ind w:firstLine="315" w:firstLineChars="150"/>
        <w:rPr>
          <w:rFonts w:hint="eastAsia"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采用支票、汇票、本票或者金融、担保机构出具的保函方式的，由供应商代表持相关授权证明材料至采购人或者采购代理机构办理支票、汇票、本票或者金融、担保机构出具的保函原件退还手续。</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17.2.2成交供应商的磋商保证金自签订合同之日起4个工作日内退还，退还方式同未成交供应商的磋商保证金的退还方式。</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17.4供应商有下列情形之一的，磋商保证金将不予退还：</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pPr>
        <w:spacing w:line="360" w:lineRule="auto"/>
        <w:ind w:left="420" w:leftChars="200"/>
        <w:rPr>
          <w:rFonts w:hint="eastAsia" w:ascii="宋体" w:hAnsi="宋体" w:cs="宋体"/>
          <w:color w:val="auto"/>
          <w:szCs w:val="21"/>
          <w:highlight w:val="none"/>
        </w:rPr>
      </w:pPr>
      <w:r>
        <w:rPr>
          <w:rFonts w:hint="eastAsia" w:ascii="宋体" w:hAnsi="宋体" w:cs="宋体"/>
          <w:color w:val="auto"/>
          <w:szCs w:val="21"/>
          <w:highlight w:val="none"/>
        </w:rPr>
        <w:t>（5）磋商文件规定的其他情形。</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pPr>
        <w:spacing w:line="360" w:lineRule="auto"/>
        <w:ind w:firstLine="421"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 xml:space="preserve">18.1.1电子响应文件按广西政府采购云平台要求及本磋商文件要求制作、加密并递交。具体操作流程可参考《政府采购项目电子交易管理操作指南-供应商》，指南可在 “http://www.ccgp-guangxi.gov.cn/PurchaseAdvisory/ImportantNotice/2866753.html”下载。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18.1.2 电子磋商响应文件中须加盖供应商公章部分均采用CA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18.1.2供应商法人（负责人）或授权代表持有广西政府采购云平台个人CA签章的，应在响应文件中</w:t>
      </w:r>
      <w:r>
        <w:rPr>
          <w:rFonts w:hint="eastAsia" w:ascii="宋体" w:hAnsi="宋体" w:cs="宋体"/>
          <w:color w:val="auto"/>
          <w:szCs w:val="21"/>
          <w:highlight w:val="none"/>
          <w:lang w:eastAsia="zh-CN"/>
        </w:rPr>
        <w:t>涉及</w:t>
      </w:r>
      <w:r>
        <w:rPr>
          <w:rFonts w:hint="eastAsia" w:ascii="宋体" w:hAnsi="宋体" w:cs="宋体"/>
          <w:color w:val="auto"/>
          <w:szCs w:val="21"/>
          <w:highlight w:val="none"/>
        </w:rPr>
        <w:t>签字的位置使用个人CA签章，没有办理广西政府采购云平台个人CA签章的可在响应文件中</w:t>
      </w:r>
      <w:r>
        <w:rPr>
          <w:rFonts w:hint="eastAsia" w:ascii="宋体" w:hAnsi="宋体" w:cs="宋体"/>
          <w:color w:val="auto"/>
          <w:szCs w:val="21"/>
          <w:highlight w:val="none"/>
          <w:lang w:eastAsia="zh-CN"/>
        </w:rPr>
        <w:t>涉及</w:t>
      </w:r>
      <w:r>
        <w:rPr>
          <w:rFonts w:hint="eastAsia" w:ascii="宋体" w:hAnsi="宋体" w:cs="宋体"/>
          <w:color w:val="auto"/>
          <w:szCs w:val="21"/>
          <w:highlight w:val="none"/>
        </w:rPr>
        <w:t>签字的位置手写签字后扫描或者拍照做成PDF的格式上传即可。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18.1.3磋商响应文件不得涂改，若有修改错漏处，须法定代表人（负责人）或授权委托人签字（或个人CA签章）。磋商响应文件因字迹潦草或表达不清所引起的后果由供应商负责。</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19.响应文件的语言及计量</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19.2磋商计量单位，磋商文件已有明确规定的，使用磋商文件规定的计量单位；磋商文件没有规定的，应采用中华人民共和国法定计量单位（货币单位：人民币元），否则视同未响应。</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20.响应文件的提交和解密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20.1响应文件递交截止时间：详见供应商须知前附表。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20.2磋商响应文件解密时间：详见供应商须知前附表。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除竞争性磋商文件另有规定外，供应商所递交的响应文件不予退还。</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响应文件递交截止时间前可以撤回电子磋商响应文件。补充或者修改电子磋商响应文件的，应当先行撤回原文件，补充、修改后重新传输递交，磋商响应文件递交截止时间前未完成传输的，视为撤回磋商响应文件。采购代理机构补充、修改的内容作为响应文件的组成部分。补充、修改的内容与响应文件不一致的，以补充、修改的内容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在响应文件递交截止时间后的响应文件有效期内，供应商不得撤回其响应文件。</w:t>
      </w:r>
    </w:p>
    <w:p>
      <w:pPr>
        <w:spacing w:line="360" w:lineRule="auto"/>
        <w:ind w:firstLine="481" w:firstLineChars="200"/>
        <w:rPr>
          <w:rFonts w:hint="eastAsia" w:ascii="宋体" w:hAnsi="宋体" w:cs="宋体"/>
          <w:b/>
          <w:bCs/>
          <w:color w:val="auto"/>
          <w:sz w:val="24"/>
          <w:highlight w:val="none"/>
        </w:rPr>
      </w:pPr>
      <w:bookmarkStart w:id="106" w:name="_Hlk45702405"/>
      <w:r>
        <w:rPr>
          <w:rFonts w:hint="eastAsia" w:ascii="宋体" w:hAnsi="宋体" w:cs="宋体"/>
          <w:b/>
          <w:bCs/>
          <w:color w:val="auto"/>
          <w:sz w:val="24"/>
          <w:highlight w:val="none"/>
        </w:rPr>
        <w:t>22.首次响应文件的退回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在首次响应文件提交截止时间止提交响应文件的供应商不足3家时，应当由供应商签字领回响应文件，除此之外采购人和采购代理机构对已提交的响应文件概不退回。</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23.截止时间后的撤回</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供应商在首次响应文件提交截止时间后向采购人、采购代理机构书面申请撤回响应文件的，将根据本须知正文17.4的规定不予退还其磋商保证金。</w:t>
      </w:r>
    </w:p>
    <w:bookmarkEnd w:id="106"/>
    <w:p>
      <w:pPr>
        <w:spacing w:line="360" w:lineRule="auto"/>
        <w:ind w:left="420" w:firstLine="42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四、评审及磋商</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24.磋商小组成立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采购数额标准的货物或者服务采购项目，或者达到公开采购规模标准的政府采购工程，经批准采用竞争性磋商方式采购的，磋商小组由5人以上单数组成。</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24.3响应文件的开启：具体详见“供应商须知前附表”。</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25.首次响应文件的开启</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6</w:t>
      </w:r>
      <w:r>
        <w:rPr>
          <w:rFonts w:hint="eastAsia" w:ascii="宋体" w:hAnsi="宋体" w:cs="宋体"/>
          <w:color w:val="auto"/>
          <w:szCs w:val="21"/>
          <w:highlight w:val="none"/>
        </w:rPr>
        <w:t>.1本项目的评审方法为综合评分法。</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26.2</w:t>
      </w:r>
      <w:r>
        <w:rPr>
          <w:rFonts w:hint="eastAsia" w:ascii="宋体" w:hAnsi="宋体" w:cs="宋体"/>
          <w:color w:val="auto"/>
          <w:szCs w:val="21"/>
          <w:highlight w:val="none"/>
        </w:rPr>
        <w:t>磋商小组</w:t>
      </w:r>
      <w:r>
        <w:rPr>
          <w:rFonts w:ascii="宋体" w:hAnsi="宋体" w:cs="宋体"/>
          <w:color w:val="auto"/>
          <w:szCs w:val="21"/>
          <w:highlight w:val="none"/>
        </w:rPr>
        <w:t>按照</w:t>
      </w:r>
      <w:r>
        <w:rPr>
          <w:rFonts w:hint="eastAsia" w:ascii="宋体" w:hAnsi="宋体" w:cs="宋体"/>
          <w:color w:val="auto"/>
          <w:szCs w:val="21"/>
          <w:highlight w:val="none"/>
        </w:rPr>
        <w:t>“第四章、评审程序、评审方法和评审标准”</w:t>
      </w:r>
      <w:r>
        <w:rPr>
          <w:rFonts w:ascii="宋体" w:hAnsi="宋体" w:cs="宋体"/>
          <w:color w:val="auto"/>
          <w:szCs w:val="21"/>
          <w:highlight w:val="none"/>
        </w:rPr>
        <w:t>规定的方法、评审因素、标准和程序对</w:t>
      </w:r>
      <w:r>
        <w:rPr>
          <w:rFonts w:hint="eastAsia" w:ascii="宋体" w:hAnsi="宋体" w:cs="宋体"/>
          <w:color w:val="auto"/>
          <w:szCs w:val="21"/>
          <w:highlight w:val="none"/>
        </w:rPr>
        <w:t>响应</w:t>
      </w:r>
      <w:r>
        <w:rPr>
          <w:rFonts w:ascii="宋体" w:hAnsi="宋体" w:cs="宋体"/>
          <w:color w:val="auto"/>
          <w:szCs w:val="21"/>
          <w:highlight w:val="none"/>
        </w:rPr>
        <w:t>文件进行评审。</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1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27</w:t>
      </w:r>
      <w:r>
        <w:rPr>
          <w:rFonts w:hint="eastAsia" w:ascii="宋体" w:hAnsi="宋体" w:cs="宋体"/>
          <w:color w:val="auto"/>
          <w:szCs w:val="21"/>
          <w:highlight w:val="none"/>
        </w:rPr>
        <w:t>.2采购代理机构应当在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7.3</w:t>
      </w:r>
      <w:r>
        <w:rPr>
          <w:rFonts w:hint="eastAsia" w:ascii="宋体" w:hAnsi="宋体" w:cs="宋体"/>
          <w:color w:val="auto"/>
          <w:szCs w:val="21"/>
          <w:highlight w:val="none"/>
        </w:rPr>
        <w:t>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color w:val="auto"/>
          <w:szCs w:val="21"/>
          <w:highlight w:val="none"/>
        </w:rPr>
      </w:pPr>
      <w:r>
        <w:rPr>
          <w:rFonts w:ascii="宋体" w:hAnsi="宋体"/>
          <w:bCs/>
          <w:color w:val="auto"/>
          <w:szCs w:val="21"/>
          <w:highlight w:val="none"/>
        </w:rPr>
        <w:t>27.4</w:t>
      </w:r>
      <w:r>
        <w:rPr>
          <w:rFonts w:hint="eastAsia" w:ascii="宋体" w:hAnsi="宋体"/>
          <w:bCs/>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28.履约保证金</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.1履约保证金的金额、提交方式、退付的时间和条件详见“供应商须知前附表”。成交供应商未按规定提交履约保证金的，视为拒绝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w:t>
      </w:r>
      <w:r>
        <w:rPr>
          <w:rFonts w:hint="eastAsia" w:ascii="宋体" w:hAnsi="宋体" w:cs="宋体"/>
          <w:color w:val="auto"/>
          <w:szCs w:val="21"/>
          <w:highlight w:val="none"/>
          <w:lang w:eastAsia="zh-CN"/>
        </w:rPr>
        <w:t>账号</w:t>
      </w:r>
      <w:r>
        <w:rPr>
          <w:rFonts w:hint="eastAsia" w:ascii="宋体" w:hAnsi="宋体" w:cs="宋体"/>
          <w:color w:val="auto"/>
          <w:szCs w:val="21"/>
          <w:highlight w:val="none"/>
        </w:rPr>
        <w:t>有变动的，请以书面形式通知履约保证金收取单位，否则由此产生的后果由成交供应商自行承担。</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29.签订合同</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29.1</w:t>
      </w:r>
      <w:r>
        <w:rPr>
          <w:rFonts w:hint="eastAsia" w:ascii="宋体" w:hAnsi="宋体" w:cs="宋体"/>
          <w:color w:val="auto"/>
          <w:szCs w:val="21"/>
          <w:highlight w:val="none"/>
        </w:rPr>
        <w:t>成交供应商在收到成交通知书后，应当在签订合同时向采购人出示相关证明材料，具体内容详见“供应商须知前附表”，经采购人核验合格后方可签订合同。</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.2签订合同时间：</w:t>
      </w:r>
      <w:r>
        <w:rPr>
          <w:rFonts w:hint="eastAsia" w:ascii="宋体" w:hAnsi="宋体" w:cs="宋体"/>
          <w:bCs/>
          <w:color w:val="auto"/>
          <w:kern w:val="0"/>
          <w:szCs w:val="21"/>
          <w:highlight w:val="none"/>
        </w:rPr>
        <w:t>成交通知书发出之日起25个工作日内签订合同</w:t>
      </w:r>
      <w:r>
        <w:rPr>
          <w:rFonts w:hint="eastAsia" w:ascii="宋体" w:hAnsi="宋体" w:cs="宋体"/>
          <w:color w:val="auto"/>
          <w:highlight w:val="none"/>
        </w:rPr>
        <w:t>。</w:t>
      </w:r>
      <w:r>
        <w:rPr>
          <w:rFonts w:hint="eastAsia" w:ascii="宋体" w:hAnsi="宋体" w:cs="宋体"/>
          <w:color w:val="auto"/>
          <w:szCs w:val="21"/>
          <w:highlight w:val="none"/>
        </w:rPr>
        <w:t>成交供应商领取成交通知书后，应按规定与采购人签订合同。</w:t>
      </w:r>
    </w:p>
    <w:p>
      <w:pPr>
        <w:spacing w:line="360" w:lineRule="auto"/>
        <w:ind w:firstLine="424" w:firstLineChars="202"/>
        <w:rPr>
          <w:rFonts w:hint="eastAsia" w:ascii="宋体" w:hAnsi="宋体" w:cs="宋体"/>
          <w:color w:val="auto"/>
          <w:szCs w:val="21"/>
          <w:highlight w:val="none"/>
        </w:rPr>
      </w:pPr>
      <w:r>
        <w:rPr>
          <w:rFonts w:ascii="宋体" w:hAnsi="宋体" w:cs="宋体"/>
          <w:color w:val="auto"/>
          <w:szCs w:val="21"/>
          <w:highlight w:val="none"/>
        </w:rPr>
        <w:t>29</w:t>
      </w:r>
      <w:r>
        <w:rPr>
          <w:rFonts w:hint="eastAsia" w:ascii="宋体" w:hAnsi="宋体" w:cs="宋体"/>
          <w:color w:val="auto"/>
          <w:szCs w:val="21"/>
          <w:highlight w:val="none"/>
        </w:rPr>
        <w:t>.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30.政府采购合同公告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31.询问、质疑和投诉</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.2供应商认为磋商文件、采购过程或者成交结果使自己的合法权益受到损害的，应当在知道或者应知其权益受到损害之日起7个工作日内，以书面形式向采购人、采购代理机构提出质疑，</w:t>
      </w:r>
      <w:r>
        <w:rPr>
          <w:rFonts w:ascii="宋体" w:hAnsi="宋体" w:cs="Arial"/>
          <w:color w:val="auto"/>
          <w:highlight w:val="none"/>
          <w:shd w:val="clear" w:color="auto" w:fill="FFFFFF"/>
        </w:rPr>
        <w:t>接收质疑函的方式、联系部门、联系电话和通讯地址等信息</w:t>
      </w:r>
      <w:r>
        <w:rPr>
          <w:rFonts w:hint="eastAsia" w:ascii="宋体" w:hAnsi="宋体" w:cs="Arial"/>
          <w:color w:val="auto"/>
          <w:highlight w:val="none"/>
          <w:shd w:val="clear" w:color="auto" w:fill="FFFFFF"/>
        </w:rPr>
        <w:t>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（1）对可以质疑的磋商文件提出质疑的，为收到磋商文件之日或者</w:t>
      </w:r>
      <w:r>
        <w:rPr>
          <w:rFonts w:hint="eastAsia" w:ascii="宋体" w:hAnsi="宋体"/>
          <w:color w:val="auto"/>
          <w:highlight w:val="none"/>
        </w:rPr>
        <w:t>竞争性磋商公告期限届满之日</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（2）对采购过程提出质疑的，为各采购程序环节结束之日；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（3）对成交结果提出质疑的，为成交结果公告期限届满之日。</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w:t>
      </w:r>
      <w:r>
        <w:rPr>
          <w:rFonts w:hint="eastAsia" w:ascii="宋体" w:hAnsi="宋体" w:cs="宋体"/>
          <w:color w:val="auto"/>
          <w:highlight w:val="none"/>
        </w:rPr>
        <w:t>.4供应商提出质疑应当提交质疑函和必要的证明材料，针对同一采购程序环节的质疑必须在法定质疑期内一次性提出。质疑函应当包括下列内容</w:t>
      </w:r>
      <w:r>
        <w:rPr>
          <w:rFonts w:hint="eastAsia" w:hAnsi="宋体"/>
          <w:bCs/>
          <w:color w:val="auto"/>
          <w:highlight w:val="none"/>
        </w:rPr>
        <w:t>（质疑函格式后附）</w:t>
      </w:r>
      <w:r>
        <w:rPr>
          <w:rFonts w:hint="eastAsia" w:ascii="宋体" w:hAnsi="宋体" w:cs="宋体"/>
          <w:color w:val="auto"/>
          <w:highlight w:val="none"/>
        </w:rPr>
        <w:t>：</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1.5</w:t>
      </w:r>
      <w:r>
        <w:rPr>
          <w:rFonts w:hint="eastAsia" w:ascii="宋体" w:hAnsi="宋体" w:cs="宋体"/>
          <w:color w:val="auto"/>
          <w:highlight w:val="none"/>
        </w:rPr>
        <w:t>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cs="宋体"/>
          <w:color w:val="auto"/>
          <w:szCs w:val="21"/>
          <w:highlight w:val="none"/>
        </w:rPr>
      </w:pPr>
      <w:r>
        <w:rPr>
          <w:rFonts w:ascii="宋体" w:hAnsi="宋体" w:cs="宋体"/>
          <w:color w:val="auto"/>
          <w:highlight w:val="none"/>
        </w:rPr>
        <w:t>31</w:t>
      </w:r>
      <w:r>
        <w:rPr>
          <w:rFonts w:hint="eastAsia" w:ascii="宋体" w:hAnsi="宋体" w:cs="宋体"/>
          <w:color w:val="auto"/>
          <w:highlight w:val="none"/>
        </w:rPr>
        <w:t>.</w:t>
      </w:r>
      <w:r>
        <w:rPr>
          <w:rFonts w:ascii="宋体" w:hAnsi="宋体" w:cs="宋体"/>
          <w:color w:val="auto"/>
          <w:highlight w:val="none"/>
        </w:rPr>
        <w:t>6</w:t>
      </w:r>
      <w:r>
        <w:rPr>
          <w:rFonts w:hint="eastAsia" w:ascii="宋体" w:hAnsi="宋体" w:cs="宋体"/>
          <w:color w:val="auto"/>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32.其他内容</w:t>
      </w:r>
    </w:p>
    <w:p>
      <w:pPr>
        <w:tabs>
          <w:tab w:val="left" w:pos="2835"/>
        </w:tabs>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.1代理服务收费标准及缴费账户详见“供应商须知前附表”，供应商为联合体的，可以由联合体中的一方或者多方共同交纳代理服务费。</w:t>
      </w:r>
    </w:p>
    <w:p>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32.2</w:t>
      </w:r>
      <w:r>
        <w:rPr>
          <w:rFonts w:hint="eastAsia" w:ascii="宋体" w:hAnsi="宋体" w:cs="宋体"/>
          <w:color w:val="auto"/>
          <w:szCs w:val="21"/>
          <w:highlight w:val="none"/>
        </w:rPr>
        <w:t>代理服务费收费计算标准：详见供应商须知前附表。</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33.需要补充的其他内容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w:t>
      </w:r>
      <w:r>
        <w:rPr>
          <w:rFonts w:ascii="宋体" w:hAnsi="宋体" w:cs="宋体"/>
          <w:color w:val="auto"/>
          <w:highlight w:val="none"/>
        </w:rPr>
        <w:t>3.1</w:t>
      </w:r>
      <w:r>
        <w:rPr>
          <w:rFonts w:hint="eastAsia" w:ascii="宋体" w:hAnsi="宋体" w:cs="宋体"/>
          <w:color w:val="auto"/>
          <w:highlight w:val="none"/>
        </w:rPr>
        <w:t>本磋商文件解释规则详见“供应商须知前附表”。</w:t>
      </w:r>
    </w:p>
    <w:p>
      <w:pPr>
        <w:spacing w:line="360" w:lineRule="auto"/>
        <w:ind w:firstLine="420" w:firstLineChars="200"/>
        <w:rPr>
          <w:rFonts w:hint="eastAsia" w:ascii="宋体" w:hAnsi="宋体" w:cs="宋体"/>
          <w:color w:val="auto"/>
          <w:highlight w:val="none"/>
        </w:rPr>
      </w:pPr>
      <w:r>
        <w:rPr>
          <w:rFonts w:ascii="宋体" w:hAnsi="宋体" w:cs="宋体"/>
          <w:color w:val="auto"/>
          <w:highlight w:val="none"/>
        </w:rPr>
        <w:t>33.2</w:t>
      </w:r>
      <w:r>
        <w:rPr>
          <w:rFonts w:hint="eastAsia" w:ascii="宋体" w:hAnsi="宋体" w:cs="宋体"/>
          <w:color w:val="auto"/>
          <w:highlight w:val="none"/>
        </w:rPr>
        <w:t>其他事项详见“供应商须知前附表”。</w:t>
      </w:r>
    </w:p>
    <w:p>
      <w:pPr>
        <w:widowControl/>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highlight w:val="none"/>
        </w:rPr>
        <w:t>33.3</w:t>
      </w:r>
      <w:r>
        <w:rPr>
          <w:rFonts w:hint="eastAsia" w:ascii="宋体" w:hAnsi="宋体" w:cs="宋体"/>
          <w:color w:val="auto"/>
          <w:kern w:val="0"/>
          <w:szCs w:val="21"/>
          <w:highlight w:val="none"/>
        </w:rPr>
        <w:t>在线投标响应（电子投标）说明</w:t>
      </w:r>
    </w:p>
    <w:p>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33.3.1本项目通过广西政府采购云平台实行在线投标响应（电子投标），供应商需要先安装“广西政府采购云平台电子交易客户端”，并按照本磋商文件和广西政府采购云平台的要求，通过“广西政府采购云平台电子交易客户端”编制并加密响应文件。供应商未按规定编制并加密的响应文件，广西政府采购云平台将予以拒收。“广西政府采购云平台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广西政府采购云平台投标客户端时，建议使用WIN7及以上操作系统,通过广西政府采购云平台参与在线投标时如遇平台技术问题详询95763。</w:t>
      </w:r>
    </w:p>
    <w:p>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33.3.2为确保网上操作合法、有效和安全，磋商供应商应当在磋商截止时间前完成在“政府采购云平台”的身份认证，确保在电子投标过程中能够对相关数据电文进行加密和使用电子签章。使用“广西政府采购云平台电子交易客户端”需要提前申领CA数字证书，申领流程请自行前往广西政府采购云平台网站进行查阅；（完成CA数字证书办理预计一周左右，建议供应商获取磋商文件后立即办理。）</w:t>
      </w:r>
    </w:p>
    <w:p>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33.3.3磋商供应商应当在磋商截止时间前，将生成的“电子磋商响应文件”上传递交至广西政府采购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33.3.4本项目需要磋商供应商代表在截标当天截标后，按磋商小组要求及时</w:t>
      </w:r>
      <w:r>
        <w:rPr>
          <w:rFonts w:hint="eastAsia" w:ascii="宋体" w:hAnsi="宋体" w:cs="宋体"/>
          <w:color w:val="auto"/>
          <w:kern w:val="0"/>
          <w:szCs w:val="21"/>
          <w:highlight w:val="none"/>
          <w:lang w:eastAsia="zh-CN"/>
        </w:rPr>
        <w:t>登录</w:t>
      </w:r>
      <w:r>
        <w:rPr>
          <w:rFonts w:hint="eastAsia" w:ascii="宋体" w:hAnsi="宋体" w:cs="宋体"/>
          <w:color w:val="auto"/>
          <w:kern w:val="0"/>
          <w:szCs w:val="21"/>
          <w:highlight w:val="none"/>
        </w:rPr>
        <w:t>广西政府采购云平台等候在线磋商及提交最后报价。</w:t>
      </w:r>
    </w:p>
    <w:p>
      <w:pPr>
        <w:tabs>
          <w:tab w:val="left" w:pos="312"/>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本采购项目为广西政府采购云平台全流程电子化操作，参与磋商的供应商需自备计算机和网络设备（设备需可视频通话和读取广西政府采购云平台CA数字证书），确保磋商过程顺利进行；因供应商自身设备或网络原因造成的一切后果，由供应商自行承担。</w:t>
      </w:r>
    </w:p>
    <w:p>
      <w:pPr>
        <w:spacing w:line="360" w:lineRule="auto"/>
        <w:ind w:firstLine="420" w:firstLineChars="200"/>
        <w:rPr>
          <w:rFonts w:hint="eastAsia" w:ascii="宋体" w:hAnsi="宋体" w:cs="宋体"/>
          <w:color w:val="auto"/>
          <w:highlight w:val="none"/>
        </w:rPr>
      </w:pPr>
    </w:p>
    <w:p>
      <w:pPr>
        <w:pStyle w:val="20"/>
        <w:snapToGrid w:val="0"/>
        <w:spacing w:line="360" w:lineRule="auto"/>
        <w:rPr>
          <w:rFonts w:hint="eastAsia" w:hAnsi="宋体"/>
          <w:color w:val="auto"/>
          <w:highlight w:val="none"/>
        </w:rPr>
      </w:pPr>
      <w:r>
        <w:rPr>
          <w:rFonts w:hAnsi="宋体"/>
          <w:b/>
          <w:color w:val="auto"/>
          <w:highlight w:val="none"/>
        </w:rPr>
        <w:br w:type="page"/>
      </w:r>
      <w:r>
        <w:rPr>
          <w:rFonts w:hint="eastAsia" w:ascii="黑体" w:hAnsi="黑体" w:eastAsia="黑体" w:cs="黑体"/>
          <w:bCs/>
          <w:color w:val="auto"/>
          <w:sz w:val="32"/>
          <w:szCs w:val="32"/>
          <w:highlight w:val="none"/>
        </w:rPr>
        <w:t>附件1：</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pPr>
        <w:widowControl/>
        <w:shd w:val="clear" w:color="auto" w:fill="FFFFFF"/>
        <w:spacing w:line="480" w:lineRule="atLeast"/>
        <w:jc w:val="center"/>
        <w:rPr>
          <w:rFonts w:hint="eastAsia"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32"/>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21"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113" w:type="dxa"/>
            <w:gridSpan w:val="2"/>
            <w:tcBorders>
              <w:top w:val="nil"/>
              <w:left w:val="nil"/>
              <w:bottom w:val="single" w:color="auto" w:sz="8" w:space="0"/>
              <w:right w:val="single" w:color="auto" w:sz="8" w:space="0"/>
            </w:tcBorders>
            <w:noWrap w:val="0"/>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（应按采购合同、竞争性</w:t>
            </w:r>
            <w:r>
              <w:rPr>
                <w:rFonts w:hint="eastAsia" w:ascii="Verdana" w:hAnsi="Verdana" w:cs="宋体"/>
                <w:color w:val="auto"/>
                <w:kern w:val="0"/>
                <w:szCs w:val="21"/>
                <w:highlight w:val="none"/>
              </w:rPr>
              <w:t>磋商</w:t>
            </w:r>
            <w:r>
              <w:rPr>
                <w:rFonts w:ascii="Verdana" w:hAnsi="Verdana" w:cs="宋体"/>
                <w:color w:val="auto"/>
                <w:kern w:val="0"/>
                <w:szCs w:val="21"/>
                <w:highlight w:val="none"/>
              </w:rPr>
              <w:t>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noWrap w:val="0"/>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noWrap w:val="0"/>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noWrap w:val="0"/>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pStyle w:val="4"/>
        <w:jc w:val="center"/>
        <w:rPr>
          <w:rFonts w:hint="eastAsia"/>
          <w:color w:val="auto"/>
          <w:highlight w:val="none"/>
        </w:rPr>
      </w:pPr>
      <w:r>
        <w:rPr>
          <w:rFonts w:hAnsi="宋体"/>
          <w:color w:val="auto"/>
          <w:highlight w:val="none"/>
        </w:rPr>
        <w:br w:type="page"/>
      </w:r>
      <w:bookmarkStart w:id="107" w:name="_Toc32292"/>
      <w:bookmarkStart w:id="108" w:name="_Toc15296"/>
      <w:bookmarkStart w:id="109" w:name="_Toc44229895"/>
      <w:bookmarkStart w:id="110" w:name="_Toc25141"/>
      <w:bookmarkStart w:id="111" w:name="_Toc19608"/>
      <w:bookmarkStart w:id="112" w:name="_Toc2179"/>
      <w:bookmarkStart w:id="113" w:name="_Toc27027"/>
      <w:bookmarkStart w:id="114" w:name="_Toc17754"/>
      <w:bookmarkStart w:id="115" w:name="_Toc13840"/>
      <w:bookmarkStart w:id="116" w:name="_Toc25435"/>
      <w:bookmarkStart w:id="117" w:name="_Toc2773"/>
      <w:bookmarkStart w:id="118" w:name="_Toc29691"/>
      <w:bookmarkStart w:id="119" w:name="_Toc7101"/>
      <w:bookmarkStart w:id="120" w:name="_Toc11278"/>
      <w:bookmarkStart w:id="121" w:name="_Toc1433"/>
      <w:bookmarkStart w:id="122" w:name="_Toc18769"/>
      <w:bookmarkStart w:id="123" w:name="_Toc20316"/>
      <w:r>
        <w:rPr>
          <w:rFonts w:hint="eastAsia"/>
          <w:color w:val="auto"/>
          <w:highlight w:val="none"/>
        </w:rPr>
        <w:t>第三章 采购需求</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pPr>
        <w:spacing w:line="360" w:lineRule="auto"/>
        <w:jc w:val="left"/>
        <w:rPr>
          <w:rFonts w:hint="eastAsia" w:ascii="宋体" w:hAnsi="宋体" w:cs="宋体"/>
          <w:color w:val="auto"/>
          <w:szCs w:val="21"/>
          <w:highlight w:val="none"/>
        </w:rPr>
      </w:pPr>
      <w:bookmarkStart w:id="124" w:name="_Toc254970631"/>
      <w:bookmarkStart w:id="125" w:name="_Toc254970490"/>
      <w:r>
        <w:rPr>
          <w:rFonts w:hint="eastAsia" w:ascii="宋体" w:hAnsi="宋体" w:cs="宋体"/>
          <w:color w:val="auto"/>
          <w:szCs w:val="21"/>
          <w:highlight w:val="none"/>
        </w:rPr>
        <w:t>说明：</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1.为落实政府采购政策需满足的要求（根据项目实际情况填写内容）</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广西壮族自治区财政厅关于贯彻落实政府采购支持中小企业发展政策的通知》（桂财采〔2022〕31号）的规定。</w:t>
      </w:r>
      <w:r>
        <w:rPr>
          <w:rFonts w:hint="eastAsia" w:ascii="宋体" w:hAnsi="宋体"/>
          <w:b/>
          <w:bCs/>
          <w:color w:val="auto"/>
          <w:szCs w:val="21"/>
          <w:highlight w:val="none"/>
        </w:rPr>
        <w:t>本项目属于专门面向</w:t>
      </w:r>
      <w:r>
        <w:rPr>
          <w:rFonts w:hint="eastAsia" w:ascii="宋体" w:hAnsi="宋体"/>
          <w:b/>
          <w:bCs/>
          <w:color w:val="auto"/>
          <w:szCs w:val="21"/>
          <w:highlight w:val="none"/>
          <w:lang w:val="en-US" w:eastAsia="zh-CN"/>
        </w:rPr>
        <w:t>中</w:t>
      </w:r>
      <w:r>
        <w:rPr>
          <w:rFonts w:hint="eastAsia" w:ascii="宋体" w:hAnsi="宋体"/>
          <w:b/>
          <w:bCs/>
          <w:color w:val="auto"/>
          <w:szCs w:val="21"/>
          <w:highlight w:val="none"/>
        </w:rPr>
        <w:t>小微企业采购的项目,供应商应为</w:t>
      </w:r>
      <w:r>
        <w:rPr>
          <w:rFonts w:hint="eastAsia" w:ascii="宋体" w:hAnsi="宋体"/>
          <w:b/>
          <w:bCs/>
          <w:color w:val="auto"/>
          <w:szCs w:val="21"/>
          <w:highlight w:val="none"/>
          <w:lang w:val="en-US" w:eastAsia="zh-CN"/>
        </w:rPr>
        <w:t>中</w:t>
      </w:r>
      <w:r>
        <w:rPr>
          <w:rFonts w:hint="eastAsia" w:ascii="宋体" w:hAnsi="宋体"/>
          <w:b/>
          <w:bCs/>
          <w:color w:val="auto"/>
          <w:szCs w:val="21"/>
          <w:highlight w:val="none"/>
        </w:rPr>
        <w:t>小微企业（或监狱企业或残疾人福利性单位）。</w:t>
      </w:r>
    </w:p>
    <w:p>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标的中的产品属于节能产品政府采购品目清单内标注“★”的（详见本章后附的节能产品政府采购品目清单），供应商的竞标货物必须使用政府强制采购的节能产品，供应商必须在响应文件中提供所竞标产品的节能产品认证证书扫描件（加盖供应商公章（或电子签章）），</w:t>
      </w:r>
      <w:r>
        <w:rPr>
          <w:rFonts w:hint="eastAsia" w:ascii="宋体" w:hAnsi="宋体" w:cs="宋体"/>
          <w:b/>
          <w:color w:val="auto"/>
          <w:szCs w:val="21"/>
          <w:highlight w:val="none"/>
        </w:rPr>
        <w:t>否则竞标无效</w:t>
      </w:r>
      <w:r>
        <w:rPr>
          <w:rFonts w:hint="eastAsia" w:ascii="宋体" w:hAnsi="宋体" w:cs="宋体"/>
          <w:color w:val="auto"/>
          <w:szCs w:val="21"/>
          <w:highlight w:val="none"/>
        </w:rPr>
        <w:t>。如本项目包含的货物属于品目清单内非标注“★”的产品时，应优先采购，具体详见“第四章 评审程序、评审方法和评审标准”。本项目采购标的不涉及政府强制采购的节能产品。</w:t>
      </w:r>
    </w:p>
    <w:p>
      <w:pPr>
        <w:spacing w:line="360" w:lineRule="auto"/>
        <w:ind w:firstLine="421" w:firstLineChars="200"/>
        <w:textAlignment w:val="center"/>
        <w:rPr>
          <w:rFonts w:hint="eastAsia" w:ascii="宋体" w:hAnsi="宋体" w:cs="宋体"/>
          <w:color w:val="auto"/>
          <w:highlight w:val="none"/>
        </w:rPr>
      </w:pPr>
      <w:r>
        <w:rPr>
          <w:rFonts w:hint="eastAsia" w:ascii="宋体" w:hAnsi="宋体" w:cs="宋体"/>
          <w:b/>
          <w:color w:val="auto"/>
          <w:szCs w:val="21"/>
          <w:highlight w:val="none"/>
        </w:rPr>
        <w:t>2.本项目采购需求均为实质性要求，不允许负偏离，否则投标无效。</w:t>
      </w:r>
    </w:p>
    <w:p>
      <w:pPr>
        <w:spacing w:line="360" w:lineRule="auto"/>
        <w:ind w:firstLine="425" w:firstLineChars="202"/>
        <w:jc w:val="left"/>
        <w:rPr>
          <w:rFonts w:hint="eastAsia" w:ascii="宋体" w:hAnsi="宋体" w:cs="宋体"/>
          <w:b/>
          <w:color w:val="auto"/>
          <w:szCs w:val="21"/>
          <w:highlight w:val="none"/>
        </w:rPr>
      </w:pPr>
      <w:r>
        <w:rPr>
          <w:rFonts w:hint="eastAsia" w:ascii="宋体" w:hAnsi="宋体" w:cs="宋体"/>
          <w:b/>
          <w:color w:val="auto"/>
          <w:szCs w:val="21"/>
          <w:highlight w:val="none"/>
        </w:rPr>
        <w:t>3.本项目采购标的所属行业：其他未列明行业。</w:t>
      </w:r>
    </w:p>
    <w:p>
      <w:pPr>
        <w:widowControl/>
        <w:spacing w:line="600" w:lineRule="exact"/>
        <w:jc w:val="left"/>
        <w:rPr>
          <w:rFonts w:hint="eastAsia" w:ascii="黑体" w:hAnsi="黑体" w:eastAsia="黑体" w:cs="宋体"/>
          <w:color w:val="auto"/>
          <w:kern w:val="0"/>
          <w:sz w:val="32"/>
          <w:szCs w:val="32"/>
          <w:highlight w:val="none"/>
        </w:rPr>
      </w:pPr>
      <w:r>
        <w:rPr>
          <w:rFonts w:hint="eastAsia" w:ascii="宋体" w:hAnsi="宋体" w:cs="宋体"/>
          <w:b/>
          <w:color w:val="auto"/>
          <w:szCs w:val="21"/>
          <w:highlight w:val="none"/>
        </w:rPr>
        <w:br w:type="page"/>
      </w:r>
      <w:r>
        <w:rPr>
          <w:rFonts w:hint="eastAsia" w:ascii="黑体" w:hAnsi="黑体" w:eastAsia="黑体" w:cs="宋体"/>
          <w:color w:val="auto"/>
          <w:kern w:val="0"/>
          <w:sz w:val="32"/>
          <w:szCs w:val="32"/>
          <w:highlight w:val="none"/>
        </w:rPr>
        <w:t>附表</w:t>
      </w:r>
    </w:p>
    <w:p>
      <w:pPr>
        <w:jc w:val="center"/>
        <w:rPr>
          <w:rFonts w:hint="eastAsia"/>
          <w:color w:val="auto"/>
          <w:sz w:val="36"/>
          <w:szCs w:val="36"/>
          <w:highlight w:val="none"/>
        </w:rPr>
      </w:pPr>
      <w:r>
        <w:rPr>
          <w:rFonts w:hint="eastAsia"/>
          <w:color w:val="auto"/>
          <w:sz w:val="36"/>
          <w:szCs w:val="36"/>
          <w:highlight w:val="none"/>
        </w:rPr>
        <w:t>统计上大中小微型企业划分标准</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2113" w:type="dxa"/>
            <w:noWrap w:val="0"/>
            <w:vAlign w:val="center"/>
          </w:tcPr>
          <w:p>
            <w:pPr>
              <w:widowControl/>
              <w:spacing w:line="24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0"/>
            <w:vAlign w:val="center"/>
          </w:tcPr>
          <w:p>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0"/>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50≤Y＜500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300≤Y＜2000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300≤Y＜6000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300≤Z＜5000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5≤X＜20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500≤Y＜20000</w:t>
            </w:r>
          </w:p>
        </w:tc>
        <w:tc>
          <w:tcPr>
            <w:tcW w:w="1426" w:type="dxa"/>
            <w:noWrap w:val="0"/>
            <w:vAlign w:val="center"/>
          </w:tcPr>
          <w:p>
            <w:pPr>
              <w:widowControl/>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100≤Y＜500 </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200≤Y＜3000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20≤X＜300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100≤Y＜2000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1000≤Y＜100000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4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jc w:val="left"/>
              <w:rPr>
                <w:rFonts w:ascii="宋体" w:hAnsi="宋体" w:cs="宋体"/>
                <w:color w:val="auto"/>
                <w:spacing w:val="-12"/>
                <w:kern w:val="0"/>
                <w:sz w:val="18"/>
                <w:szCs w:val="18"/>
                <w:highlight w:val="none"/>
              </w:rPr>
            </w:pP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50≤Y＜1000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1000≤Y＜200000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100≤Y＜1000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2000≤Z＜5000   </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1000≤Y＜5000 </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500≤Y＜1000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jc w:val="left"/>
              <w:rPr>
                <w:rFonts w:ascii="宋体" w:hAnsi="宋体" w:cs="宋体"/>
                <w:color w:val="auto"/>
                <w:kern w:val="0"/>
                <w:sz w:val="18"/>
                <w:szCs w:val="18"/>
                <w:highlight w:val="none"/>
              </w:rPr>
            </w:pPr>
          </w:p>
        </w:tc>
        <w:tc>
          <w:tcPr>
            <w:tcW w:w="1369" w:type="dxa"/>
            <w:noWrap w:val="0"/>
            <w:vAlign w:val="center"/>
          </w:tcPr>
          <w:p>
            <w:pPr>
              <w:widowControl/>
              <w:spacing w:line="24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8000≤Z＜120000</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100≤Z＜8000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pacing w:line="24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10≤X＜100</w:t>
            </w:r>
          </w:p>
        </w:tc>
        <w:tc>
          <w:tcPr>
            <w:tcW w:w="99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1.大型、中型和小型企业须同时满足所列指标的下限，否则下划一档；微型企业只须满足所列指标中的一项即可。</w:t>
      </w:r>
    </w:p>
    <w:p>
      <w:pPr>
        <w:spacing w:line="540" w:lineRule="exact"/>
        <w:rPr>
          <w:rFonts w:hint="eastAsia"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pacing w:line="540" w:lineRule="exact"/>
        <w:rPr>
          <w:rFonts w:hint="eastAsia" w:ascii="宋体" w:hAnsi="宋体" w:cs="宋体"/>
          <w:color w:val="auto"/>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pacing w:line="360" w:lineRule="auto"/>
        <w:ind w:firstLine="425" w:firstLineChars="202"/>
        <w:jc w:val="left"/>
        <w:rPr>
          <w:rFonts w:hint="eastAsia" w:ascii="宋体" w:hAnsi="宋体" w:cs="宋体"/>
          <w:b/>
          <w:color w:val="auto"/>
          <w:szCs w:val="21"/>
          <w:highlight w:val="none"/>
        </w:rPr>
      </w:pPr>
    </w:p>
    <w:p>
      <w:pPr>
        <w:spacing w:line="360" w:lineRule="exact"/>
        <w:ind w:firstLine="425" w:firstLineChars="202"/>
        <w:jc w:val="left"/>
        <w:rPr>
          <w:rFonts w:hint="eastAsia" w:ascii="宋体" w:hAnsi="宋体" w:cs="宋体"/>
          <w:b/>
          <w:color w:val="auto"/>
          <w:szCs w:val="21"/>
          <w:highlight w:val="none"/>
        </w:rPr>
      </w:pPr>
      <w:r>
        <w:rPr>
          <w:rFonts w:hint="eastAsia" w:ascii="宋体" w:hAnsi="宋体" w:cs="宋体"/>
          <w:b/>
          <w:color w:val="auto"/>
          <w:szCs w:val="21"/>
          <w:highlight w:val="none"/>
        </w:rPr>
        <w:br w:type="page"/>
      </w:r>
    </w:p>
    <w:tbl>
      <w:tblPr>
        <w:tblStyle w:val="32"/>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93"/>
        <w:gridCol w:w="490"/>
        <w:gridCol w:w="874"/>
        <w:gridCol w:w="4960"/>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14" w:type="dxa"/>
            <w:gridSpan w:val="6"/>
            <w:noWrap w:val="0"/>
            <w:vAlign w:val="center"/>
          </w:tcPr>
          <w:p>
            <w:pPr>
              <w:rPr>
                <w:rFonts w:hint="eastAsia"/>
                <w:color w:val="auto"/>
                <w:highlight w:val="none"/>
              </w:rPr>
            </w:pPr>
            <w:r>
              <w:rPr>
                <w:rFonts w:hint="eastAsia" w:ascii="宋体" w:hAnsi="宋体" w:cs="宋体"/>
                <w:color w:val="auto"/>
                <w:sz w:val="24"/>
                <w:highlight w:val="none"/>
              </w:rPr>
              <w:t>▲</w:t>
            </w:r>
            <w:r>
              <w:rPr>
                <w:rFonts w:hint="eastAsia" w:ascii="宋体" w:hAnsi="宋体" w:cs="宋体"/>
                <w:b/>
                <w:color w:val="auto"/>
                <w:szCs w:val="21"/>
                <w:highlight w:val="none"/>
              </w:rPr>
              <w:t>一、</w:t>
            </w:r>
            <w:r>
              <w:rPr>
                <w:rFonts w:hint="eastAsia" w:ascii="宋体" w:hAnsi="宋体" w:cs="宋体"/>
                <w:b/>
                <w:color w:val="auto"/>
                <w:szCs w:val="21"/>
                <w:highlight w:val="none"/>
              </w:rPr>
              <w:br w:type="page"/>
            </w:r>
            <w:r>
              <w:rPr>
                <w:rFonts w:hint="eastAsia" w:ascii="宋体" w:hAnsi="宋体" w:cs="宋体"/>
                <w:b/>
                <w:color w:val="auto"/>
                <w:szCs w:val="21"/>
                <w:highlight w:val="none"/>
              </w:rPr>
              <w:br w:type="page"/>
            </w:r>
            <w:r>
              <w:rPr>
                <w:rFonts w:hint="eastAsia" w:ascii="宋体" w:hAnsi="宋体" w:cs="宋体"/>
                <w:b/>
                <w:color w:val="auto"/>
                <w:szCs w:val="21"/>
                <w:highlight w:val="none"/>
              </w:rPr>
              <w:t>采购项目需求一览表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00" w:type="dxa"/>
            <w:noWrap w:val="0"/>
            <w:vAlign w:val="center"/>
          </w:tcPr>
          <w:p>
            <w:pPr>
              <w:jc w:val="center"/>
              <w:rPr>
                <w:rFonts w:hint="eastAsia"/>
                <w:b/>
                <w:bCs/>
                <w:color w:val="auto"/>
                <w:highlight w:val="none"/>
              </w:rPr>
            </w:pPr>
            <w:r>
              <w:rPr>
                <w:rFonts w:hint="eastAsia"/>
                <w:b/>
                <w:bCs/>
                <w:color w:val="auto"/>
                <w:highlight w:val="none"/>
              </w:rPr>
              <w:t>项号</w:t>
            </w:r>
          </w:p>
        </w:tc>
        <w:tc>
          <w:tcPr>
            <w:tcW w:w="1583" w:type="dxa"/>
            <w:gridSpan w:val="2"/>
            <w:noWrap w:val="0"/>
            <w:vAlign w:val="center"/>
          </w:tcPr>
          <w:p>
            <w:pPr>
              <w:jc w:val="center"/>
              <w:rPr>
                <w:rFonts w:hint="eastAsia"/>
                <w:b/>
                <w:bCs/>
                <w:color w:val="auto"/>
                <w:highlight w:val="none"/>
              </w:rPr>
            </w:pPr>
            <w:r>
              <w:rPr>
                <w:rFonts w:hint="eastAsia"/>
                <w:b/>
                <w:bCs/>
                <w:color w:val="auto"/>
                <w:highlight w:val="none"/>
              </w:rPr>
              <w:t>标的的名称</w:t>
            </w:r>
          </w:p>
        </w:tc>
        <w:tc>
          <w:tcPr>
            <w:tcW w:w="874" w:type="dxa"/>
            <w:noWrap w:val="0"/>
            <w:vAlign w:val="center"/>
          </w:tcPr>
          <w:p>
            <w:pPr>
              <w:jc w:val="center"/>
              <w:rPr>
                <w:rFonts w:hint="eastAsia"/>
                <w:b/>
                <w:bCs/>
                <w:color w:val="auto"/>
                <w:highlight w:val="none"/>
              </w:rPr>
            </w:pPr>
            <w:r>
              <w:rPr>
                <w:rFonts w:hint="eastAsia"/>
                <w:b/>
                <w:bCs/>
                <w:color w:val="auto"/>
                <w:highlight w:val="none"/>
              </w:rPr>
              <w:t>单位及数量</w:t>
            </w:r>
          </w:p>
        </w:tc>
        <w:tc>
          <w:tcPr>
            <w:tcW w:w="4960" w:type="dxa"/>
            <w:noWrap w:val="0"/>
            <w:vAlign w:val="center"/>
          </w:tcPr>
          <w:p>
            <w:pPr>
              <w:jc w:val="center"/>
              <w:rPr>
                <w:rFonts w:hint="eastAsia"/>
                <w:b/>
                <w:bCs/>
                <w:color w:val="auto"/>
                <w:highlight w:val="none"/>
              </w:rPr>
            </w:pPr>
            <w:r>
              <w:rPr>
                <w:rFonts w:hint="eastAsia"/>
                <w:b/>
                <w:bCs/>
                <w:color w:val="auto"/>
                <w:highlight w:val="none"/>
              </w:rPr>
              <w:t>服务需求</w:t>
            </w:r>
          </w:p>
        </w:tc>
        <w:tc>
          <w:tcPr>
            <w:tcW w:w="1397" w:type="dxa"/>
            <w:noWrap w:val="0"/>
            <w:vAlign w:val="center"/>
          </w:tcPr>
          <w:p>
            <w:pPr>
              <w:jc w:val="center"/>
              <w:rPr>
                <w:rFonts w:hint="eastAsia"/>
                <w:b/>
                <w:bCs/>
                <w:color w:val="auto"/>
                <w:highlight w:val="none"/>
              </w:rPr>
            </w:pPr>
            <w:r>
              <w:rPr>
                <w:rFonts w:hint="eastAsia" w:ascii="宋体" w:hAnsi="宋体" w:cs="宋体"/>
                <w:b/>
                <w:color w:val="auto"/>
                <w:szCs w:val="21"/>
                <w:highlight w:val="none"/>
              </w:rPr>
              <w:t>单价预算</w:t>
            </w:r>
            <w:r>
              <w:rPr>
                <w:rFonts w:hint="eastAsia" w:ascii="宋体" w:hAnsi="宋体" w:cs="宋体"/>
                <w:b/>
                <w:bCs/>
                <w:color w:val="auto"/>
                <w:kern w:val="0"/>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700" w:type="dxa"/>
            <w:noWrap w:val="0"/>
            <w:vAlign w:val="center"/>
          </w:tcPr>
          <w:p>
            <w:pPr>
              <w:jc w:val="center"/>
              <w:rPr>
                <w:rFonts w:hint="eastAsia"/>
                <w:color w:val="auto"/>
                <w:highlight w:val="none"/>
              </w:rPr>
            </w:pPr>
            <w:r>
              <w:rPr>
                <w:rFonts w:hint="eastAsia"/>
                <w:color w:val="auto"/>
                <w:highlight w:val="none"/>
              </w:rPr>
              <w:t>1</w:t>
            </w:r>
          </w:p>
        </w:tc>
        <w:tc>
          <w:tcPr>
            <w:tcW w:w="1583" w:type="dxa"/>
            <w:gridSpan w:val="2"/>
            <w:noWrap w:val="0"/>
            <w:vAlign w:val="center"/>
          </w:tcPr>
          <w:p>
            <w:pPr>
              <w:spacing w:line="360" w:lineRule="auto"/>
              <w:jc w:val="center"/>
              <w:rPr>
                <w:rFonts w:hint="eastAsia"/>
                <w:color w:val="auto"/>
                <w:highlight w:val="none"/>
              </w:rPr>
            </w:pPr>
            <w:r>
              <w:rPr>
                <w:rFonts w:hint="eastAsia" w:ascii="宋体" w:hAnsi="宋体" w:cs="宋体"/>
                <w:color w:val="auto"/>
                <w:szCs w:val="21"/>
                <w:highlight w:val="none"/>
              </w:rPr>
              <w:t>重点敏感案件监测及法律服务项目</w:t>
            </w:r>
          </w:p>
        </w:tc>
        <w:tc>
          <w:tcPr>
            <w:tcW w:w="874" w:type="dxa"/>
            <w:noWrap w:val="0"/>
            <w:vAlign w:val="center"/>
          </w:tcPr>
          <w:p>
            <w:pPr>
              <w:jc w:val="center"/>
              <w:rPr>
                <w:rFonts w:hint="eastAsia"/>
                <w:color w:val="auto"/>
                <w:highlight w:val="none"/>
              </w:rPr>
            </w:pPr>
            <w:r>
              <w:rPr>
                <w:rFonts w:hint="eastAsia" w:ascii="宋体" w:hAnsi="宋体" w:cs="宋体"/>
                <w:color w:val="auto"/>
                <w:highlight w:val="none"/>
              </w:rPr>
              <w:t>1项</w:t>
            </w:r>
          </w:p>
        </w:tc>
        <w:tc>
          <w:tcPr>
            <w:tcW w:w="4960" w:type="dxa"/>
            <w:noWrap w:val="0"/>
            <w:vAlign w:val="center"/>
          </w:tcPr>
          <w:p>
            <w:pPr>
              <w:spacing w:line="360" w:lineRule="auto"/>
              <w:ind w:firstLine="420" w:firstLineChars="200"/>
              <w:rPr>
                <w:color w:val="auto"/>
                <w:highlight w:val="none"/>
              </w:rPr>
            </w:pPr>
            <w:r>
              <w:rPr>
                <w:rFonts w:hint="eastAsia" w:ascii="宋体" w:hAnsi="宋体" w:cs="宋体"/>
                <w:color w:val="auto"/>
                <w:szCs w:val="21"/>
                <w:highlight w:val="none"/>
              </w:rPr>
              <w:t>对全区各县（市、区）年度涉林违法重大案件进行动态监测，监测案件查处进度和整改复绿情况。提供法律相关的服务，对重大决策提供法律论证、合法性审查意见；对重要的地方立法项目和规范性文件进行研究、出具合法性审查意见；协助处理重大涉法事件，起草有关法律文书和法律意见书；参与重大、疑难信访案件的处理。</w:t>
            </w:r>
          </w:p>
        </w:tc>
        <w:tc>
          <w:tcPr>
            <w:tcW w:w="1397" w:type="dxa"/>
            <w:noWrap w:val="0"/>
            <w:vAlign w:val="center"/>
          </w:tcPr>
          <w:p>
            <w:pPr>
              <w:jc w:val="center"/>
              <w:rPr>
                <w:rFonts w:ascii="宋体" w:hAnsi="宋体" w:cs="宋体"/>
                <w:color w:val="auto"/>
                <w:highlight w:val="none"/>
              </w:rPr>
            </w:pPr>
            <w:r>
              <w:rPr>
                <w:rFonts w:hint="eastAsia" w:ascii="宋体" w:hAnsi="宋体" w:cs="宋体"/>
                <w:color w:val="auto"/>
                <w:highlight w:val="none"/>
              </w:rPr>
              <w:t>1500000.00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14" w:type="dxa"/>
            <w:gridSpan w:val="6"/>
            <w:noWrap w:val="0"/>
            <w:vAlign w:val="center"/>
          </w:tcPr>
          <w:p>
            <w:pPr>
              <w:rPr>
                <w:rFonts w:hint="eastAsia"/>
                <w:color w:val="auto"/>
                <w:highlight w:val="none"/>
              </w:rPr>
            </w:pPr>
            <w:r>
              <w:rPr>
                <w:rFonts w:hint="eastAsia" w:ascii="宋体" w:hAnsi="宋体" w:cs="宋体"/>
                <w:color w:val="auto"/>
                <w:sz w:val="24"/>
                <w:highlight w:val="none"/>
              </w:rPr>
              <w:t>▲</w:t>
            </w:r>
            <w:r>
              <w:rPr>
                <w:rFonts w:hint="eastAsia"/>
                <w:b/>
                <w:bCs/>
                <w:color w:val="auto"/>
                <w:highlight w:val="none"/>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93" w:type="dxa"/>
            <w:gridSpan w:val="2"/>
            <w:noWrap w:val="0"/>
            <w:vAlign w:val="center"/>
          </w:tcPr>
          <w:p>
            <w:pPr>
              <w:spacing w:line="360" w:lineRule="auto"/>
              <w:jc w:val="center"/>
              <w:rPr>
                <w:rFonts w:hint="eastAsia"/>
                <w:color w:val="auto"/>
                <w:highlight w:val="none"/>
              </w:rPr>
            </w:pPr>
            <w:r>
              <w:rPr>
                <w:rFonts w:hint="eastAsia" w:ascii="宋体" w:hAnsi="宋体"/>
                <w:b/>
                <w:bCs/>
                <w:color w:val="auto"/>
                <w:highlight w:val="none"/>
              </w:rPr>
              <w:t>合同签订时间</w:t>
            </w:r>
          </w:p>
        </w:tc>
        <w:tc>
          <w:tcPr>
            <w:tcW w:w="7721" w:type="dxa"/>
            <w:gridSpan w:val="4"/>
            <w:noWrap w:val="0"/>
            <w:vAlign w:val="center"/>
          </w:tcPr>
          <w:p>
            <w:pPr>
              <w:spacing w:line="360" w:lineRule="auto"/>
              <w:rPr>
                <w:rFonts w:hint="eastAsia"/>
                <w:color w:val="auto"/>
                <w:highlight w:val="none"/>
              </w:rPr>
            </w:pPr>
            <w:r>
              <w:rPr>
                <w:rFonts w:hint="eastAsia" w:ascii="宋体" w:hAnsi="宋体" w:cs="宋体"/>
                <w:color w:val="auto"/>
                <w:highlight w:val="none"/>
              </w:rPr>
              <w:t>自成交通知书发出之日起25个工作日内。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93" w:type="dxa"/>
            <w:gridSpan w:val="2"/>
            <w:noWrap w:val="0"/>
            <w:vAlign w:val="center"/>
          </w:tcPr>
          <w:p>
            <w:pPr>
              <w:spacing w:line="360" w:lineRule="auto"/>
              <w:jc w:val="center"/>
              <w:rPr>
                <w:rFonts w:hint="eastAsia" w:ascii="宋体" w:hAnsi="宋体"/>
                <w:b/>
                <w:bCs/>
                <w:color w:val="auto"/>
                <w:highlight w:val="none"/>
              </w:rPr>
            </w:pPr>
            <w:r>
              <w:rPr>
                <w:rFonts w:hint="eastAsia" w:ascii="宋体" w:hAnsi="宋体"/>
                <w:b/>
                <w:bCs/>
                <w:color w:val="auto"/>
                <w:highlight w:val="none"/>
              </w:rPr>
              <w:t>服务时间和地点</w:t>
            </w:r>
          </w:p>
        </w:tc>
        <w:tc>
          <w:tcPr>
            <w:tcW w:w="7721" w:type="dxa"/>
            <w:gridSpan w:val="4"/>
            <w:noWrap w:val="0"/>
            <w:vAlign w:val="center"/>
          </w:tcPr>
          <w:p>
            <w:pPr>
              <w:pStyle w:val="65"/>
              <w:spacing w:line="360" w:lineRule="auto"/>
              <w:ind w:firstLine="0" w:firstLineChars="0"/>
              <w:rPr>
                <w:rFonts w:hint="eastAsia" w:ascii="宋体"/>
                <w:color w:val="auto"/>
                <w:highlight w:val="none"/>
              </w:rPr>
            </w:pPr>
            <w:r>
              <w:rPr>
                <w:rFonts w:hint="eastAsia" w:ascii="宋体"/>
                <w:color w:val="auto"/>
                <w:highlight w:val="none"/>
              </w:rPr>
              <w:t>1.服务时间：具体完成时间按照广西自治区林业局相关文件要求为准。</w:t>
            </w:r>
          </w:p>
          <w:p>
            <w:pPr>
              <w:pStyle w:val="65"/>
              <w:ind w:firstLine="0" w:firstLineChars="0"/>
              <w:rPr>
                <w:rFonts w:hint="eastAsia" w:ascii="宋体"/>
                <w:color w:val="auto"/>
                <w:highlight w:val="none"/>
              </w:rPr>
            </w:pPr>
            <w:r>
              <w:rPr>
                <w:rFonts w:hint="eastAsia" w:ascii="宋体"/>
                <w:color w:val="auto"/>
                <w:highlight w:val="none"/>
              </w:rPr>
              <w:t>2.服务地点：广西壮族自治区全区各县（市、区）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793" w:type="dxa"/>
            <w:gridSpan w:val="2"/>
            <w:noWrap w:val="0"/>
            <w:vAlign w:val="center"/>
          </w:tcPr>
          <w:p>
            <w:pPr>
              <w:spacing w:line="360" w:lineRule="auto"/>
              <w:jc w:val="center"/>
              <w:rPr>
                <w:rFonts w:hint="eastAsia" w:ascii="宋体" w:hAnsi="宋体"/>
                <w:b/>
                <w:bCs/>
                <w:color w:val="auto"/>
                <w:highlight w:val="none"/>
              </w:rPr>
            </w:pPr>
            <w:r>
              <w:rPr>
                <w:rFonts w:hint="eastAsia" w:ascii="宋体" w:hAnsi="宋体"/>
                <w:b/>
                <w:bCs/>
                <w:color w:val="auto"/>
                <w:szCs w:val="21"/>
                <w:highlight w:val="none"/>
              </w:rPr>
              <w:t>售后服务要求</w:t>
            </w:r>
          </w:p>
        </w:tc>
        <w:tc>
          <w:tcPr>
            <w:tcW w:w="7721" w:type="dxa"/>
            <w:gridSpan w:val="4"/>
            <w:noWrap w:val="0"/>
            <w:vAlign w:val="center"/>
          </w:tcPr>
          <w:p>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1.自验收合格之日成交供应商负责所有关于本次售后服务工作所有内容。</w:t>
            </w:r>
          </w:p>
          <w:p>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2.响应成果文件要求，且成果文件质量保证期与相关服务内容的质保期一致。</w:t>
            </w:r>
          </w:p>
          <w:p>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3.售后服务响应时间：</w:t>
            </w:r>
          </w:p>
          <w:p>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(1)供应商接到采购人服务问题通知后30分钟内响应，需现场处理的问题2小时内到达现场服务。</w:t>
            </w:r>
          </w:p>
          <w:p>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(2)成交供应商能提供 7×24工作时间服务，通过远程、上门服务、电话、E-mail 等方式为采购人提供完善的技术咨询服务。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93" w:type="dxa"/>
            <w:gridSpan w:val="2"/>
            <w:noWrap w:val="0"/>
            <w:vAlign w:val="center"/>
          </w:tcPr>
          <w:p>
            <w:pPr>
              <w:spacing w:line="360" w:lineRule="auto"/>
              <w:jc w:val="center"/>
              <w:rPr>
                <w:rFonts w:hint="eastAsia" w:ascii="宋体" w:hAnsi="宋体" w:cs="宋体"/>
                <w:color w:val="auto"/>
                <w:highlight w:val="none"/>
              </w:rPr>
            </w:pPr>
            <w:r>
              <w:rPr>
                <w:rFonts w:hint="eastAsia" w:ascii="宋体" w:hAnsi="宋体" w:cs="宋体"/>
                <w:b/>
                <w:bCs/>
                <w:color w:val="auto"/>
                <w:highlight w:val="none"/>
              </w:rPr>
              <w:t>付款条件</w:t>
            </w:r>
          </w:p>
        </w:tc>
        <w:tc>
          <w:tcPr>
            <w:tcW w:w="7721" w:type="dxa"/>
            <w:gridSpan w:val="4"/>
            <w:noWrap w:val="0"/>
            <w:vAlign w:val="center"/>
          </w:tcPr>
          <w:p>
            <w:pPr>
              <w:spacing w:line="360" w:lineRule="auto"/>
              <w:rPr>
                <w:rFonts w:hint="eastAsia" w:ascii="宋体" w:hAnsi="Times New Roman" w:eastAsia="宋体" w:cs="Times New Roman"/>
                <w:color w:val="auto"/>
                <w:highlight w:val="none"/>
              </w:rPr>
            </w:pPr>
            <w:r>
              <w:rPr>
                <w:rFonts w:hint="eastAsia" w:ascii="宋体" w:hAnsi="Times New Roman" w:eastAsia="宋体" w:cs="Times New Roman"/>
                <w:color w:val="auto"/>
                <w:highlight w:val="none"/>
              </w:rPr>
              <w:t>分期付款，签订合同后</w:t>
            </w:r>
            <w:r>
              <w:rPr>
                <w:rFonts w:hint="eastAsia" w:ascii="宋体" w:hAnsi="Times New Roman" w:eastAsia="宋体" w:cs="Times New Roman"/>
                <w:color w:val="auto"/>
                <w:szCs w:val="24"/>
                <w:highlight w:val="none"/>
              </w:rPr>
              <w:t>20个工作日内，采购人向成交供应商支付合同价款的50%</w:t>
            </w:r>
            <w:r>
              <w:rPr>
                <w:rFonts w:hint="eastAsia" w:ascii="宋体" w:hAnsi="Times New Roman" w:eastAsia="宋体" w:cs="Times New Roman"/>
                <w:color w:val="auto"/>
                <w:highlight w:val="none"/>
              </w:rPr>
              <w:t>；</w:t>
            </w:r>
            <w:r>
              <w:rPr>
                <w:rFonts w:hint="eastAsia" w:ascii="宋体" w:cs="Times New Roman"/>
                <w:color w:val="auto"/>
                <w:highlight w:val="none"/>
                <w:lang w:val="en-US" w:eastAsia="zh-CN"/>
              </w:rPr>
              <w:t>2025年7月底前</w:t>
            </w:r>
            <w:r>
              <w:rPr>
                <w:rFonts w:hint="eastAsia" w:ascii="宋体" w:hAnsi="Times New Roman" w:eastAsia="宋体" w:cs="Times New Roman"/>
                <w:color w:val="auto"/>
                <w:szCs w:val="24"/>
                <w:highlight w:val="none"/>
              </w:rPr>
              <w:t>成交供应商</w:t>
            </w:r>
            <w:r>
              <w:rPr>
                <w:rFonts w:hint="eastAsia" w:ascii="宋体" w:hAnsi="Times New Roman" w:eastAsia="宋体" w:cs="Times New Roman"/>
                <w:color w:val="auto"/>
                <w:highlight w:val="none"/>
              </w:rPr>
              <w:t>完成1-2季度推送案件的监测及提交阶段监测报告、相关数据材料后</w:t>
            </w:r>
            <w:r>
              <w:rPr>
                <w:rFonts w:hint="eastAsia" w:ascii="宋体" w:hAnsi="Times New Roman" w:eastAsia="宋体" w:cs="Times New Roman"/>
                <w:color w:val="auto"/>
                <w:szCs w:val="24"/>
                <w:highlight w:val="none"/>
              </w:rPr>
              <w:t>20个工作日内，采购人向成交供应商</w:t>
            </w:r>
            <w:r>
              <w:rPr>
                <w:rFonts w:hint="eastAsia" w:ascii="宋体" w:hAnsi="Times New Roman" w:eastAsia="宋体" w:cs="Times New Roman"/>
                <w:color w:val="auto"/>
                <w:highlight w:val="none"/>
              </w:rPr>
              <w:t>支付合同价款项的30%；</w:t>
            </w:r>
            <w:r>
              <w:rPr>
                <w:rFonts w:hint="eastAsia" w:ascii="宋体" w:cs="Times New Roman"/>
                <w:color w:val="auto"/>
                <w:highlight w:val="none"/>
                <w:lang w:val="en-US" w:eastAsia="zh-CN"/>
              </w:rPr>
              <w:t>2025年12月底前</w:t>
            </w:r>
            <w:r>
              <w:rPr>
                <w:rFonts w:hint="eastAsia" w:ascii="宋体" w:hAnsi="Times New Roman" w:eastAsia="宋体" w:cs="Times New Roman"/>
                <w:color w:val="auto"/>
                <w:szCs w:val="24"/>
                <w:highlight w:val="none"/>
              </w:rPr>
              <w:t>成交供应商</w:t>
            </w:r>
            <w:r>
              <w:rPr>
                <w:rFonts w:hint="eastAsia" w:ascii="宋体" w:hAnsi="Times New Roman" w:eastAsia="宋体" w:cs="Times New Roman"/>
                <w:color w:val="auto"/>
                <w:highlight w:val="none"/>
              </w:rPr>
              <w:t>完成全部推送案件监测及提交监测报告、数据材料</w:t>
            </w:r>
            <w:r>
              <w:rPr>
                <w:rFonts w:hint="eastAsia" w:ascii="宋体" w:cs="Times New Roman"/>
                <w:color w:val="auto"/>
                <w:highlight w:val="none"/>
                <w:lang w:eastAsia="zh-CN"/>
              </w:rPr>
              <w:t>并通过采购人验收</w:t>
            </w:r>
            <w:r>
              <w:rPr>
                <w:rFonts w:hint="eastAsia" w:ascii="宋体" w:hAnsi="Times New Roman" w:eastAsia="宋体" w:cs="Times New Roman"/>
                <w:color w:val="auto"/>
                <w:highlight w:val="none"/>
              </w:rPr>
              <w:t>后</w:t>
            </w:r>
            <w:r>
              <w:rPr>
                <w:rFonts w:hint="eastAsia" w:ascii="宋体" w:hAnsi="Times New Roman" w:eastAsia="宋体" w:cs="Times New Roman"/>
                <w:color w:val="auto"/>
                <w:szCs w:val="24"/>
                <w:highlight w:val="none"/>
              </w:rPr>
              <w:t>20个工作日内，采购人向成交供应商</w:t>
            </w:r>
            <w:r>
              <w:rPr>
                <w:rFonts w:hint="eastAsia" w:ascii="宋体" w:hAnsi="Times New Roman" w:eastAsia="宋体" w:cs="Times New Roman"/>
                <w:color w:val="auto"/>
                <w:highlight w:val="none"/>
              </w:rPr>
              <w:t>支付合同价款项的20%。</w:t>
            </w:r>
            <w:r>
              <w:rPr>
                <w:rFonts w:hint="eastAsia" w:ascii="宋体" w:hAnsi="Times New Roman" w:eastAsia="宋体" w:cs="Times New Roman"/>
                <w:color w:val="auto"/>
                <w:szCs w:val="24"/>
                <w:highlight w:val="none"/>
              </w:rPr>
              <w:t>每支付一笔款项前，成交供应商必须提供相应数额的合格发票、请款函、进度证明材料等。</w:t>
            </w:r>
            <w:r>
              <w:rPr>
                <w:rFonts w:hint="eastAsia" w:ascii="宋体" w:hAnsi="Times New Roman" w:eastAsia="宋体" w:cs="Times New Roman"/>
                <w:color w:val="auto"/>
                <w:szCs w:val="24"/>
                <w:highlight w:val="none"/>
                <w:lang w:eastAsia="zh-CN"/>
              </w:rPr>
              <w:t>成交</w:t>
            </w:r>
            <w:r>
              <w:rPr>
                <w:rFonts w:hint="eastAsia" w:ascii="宋体" w:hAnsi="Times New Roman" w:eastAsia="宋体" w:cs="Times New Roman"/>
                <w:color w:val="auto"/>
                <w:szCs w:val="24"/>
                <w:highlight w:val="none"/>
              </w:rPr>
              <w:t>供应商未及时向采购人开具发票的，采购人有权顺延付款时间，且不承担任何逾期付款违约责任。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93" w:type="dxa"/>
            <w:gridSpan w:val="2"/>
            <w:noWrap w:val="0"/>
            <w:vAlign w:val="center"/>
          </w:tcPr>
          <w:p>
            <w:pPr>
              <w:spacing w:line="360" w:lineRule="auto"/>
              <w:jc w:val="center"/>
              <w:rPr>
                <w:rFonts w:hint="eastAsia" w:ascii="宋体" w:hAnsi="宋体" w:cs="宋体"/>
                <w:b/>
                <w:bCs/>
                <w:color w:val="auto"/>
                <w:highlight w:val="none"/>
              </w:rPr>
            </w:pPr>
            <w:r>
              <w:rPr>
                <w:rFonts w:hint="eastAsia" w:ascii="宋体" w:hAnsi="宋体" w:cs="宋体"/>
                <w:b/>
                <w:color w:val="auto"/>
                <w:szCs w:val="21"/>
                <w:highlight w:val="none"/>
              </w:rPr>
              <w:t>验收标准</w:t>
            </w:r>
          </w:p>
        </w:tc>
        <w:tc>
          <w:tcPr>
            <w:tcW w:w="7721" w:type="dxa"/>
            <w:gridSpan w:val="4"/>
            <w:noWrap w:val="0"/>
            <w:vAlign w:val="center"/>
          </w:tcPr>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符合广西壮族自治区林业局</w:t>
            </w:r>
            <w:r>
              <w:rPr>
                <w:rFonts w:hint="eastAsia" w:ascii="宋体" w:hAnsi="宋体"/>
                <w:color w:val="auto"/>
                <w:szCs w:val="21"/>
                <w:highlight w:val="none"/>
              </w:rPr>
              <w:t>有关技术方法技术规程。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93" w:type="dxa"/>
            <w:gridSpan w:val="2"/>
            <w:noWrap w:val="0"/>
            <w:vAlign w:val="center"/>
          </w:tcPr>
          <w:p>
            <w:pPr>
              <w:spacing w:line="360" w:lineRule="auto"/>
              <w:jc w:val="center"/>
              <w:rPr>
                <w:rFonts w:hint="eastAsia" w:ascii="宋体" w:hAnsi="宋体"/>
                <w:b/>
                <w:bCs/>
                <w:color w:val="auto"/>
                <w:highlight w:val="none"/>
              </w:rPr>
            </w:pPr>
            <w:r>
              <w:rPr>
                <w:rFonts w:hint="eastAsia" w:ascii="宋体" w:hAnsi="宋体" w:cs="宋体"/>
                <w:b/>
                <w:color w:val="auto"/>
                <w:szCs w:val="21"/>
                <w:highlight w:val="none"/>
              </w:rPr>
              <w:t>采购预算</w:t>
            </w:r>
          </w:p>
        </w:tc>
        <w:tc>
          <w:tcPr>
            <w:tcW w:w="7721" w:type="dxa"/>
            <w:gridSpan w:val="4"/>
            <w:noWrap w:val="0"/>
            <w:vAlign w:val="center"/>
          </w:tcPr>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1.本项采购预算金额（最高限价）为1500000.00元。供应商竞标报价不得超过采购预算金额（最高限价），否则响应无效。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793" w:type="dxa"/>
            <w:gridSpan w:val="2"/>
            <w:noWrap w:val="0"/>
            <w:vAlign w:val="center"/>
          </w:tcPr>
          <w:p>
            <w:pPr>
              <w:spacing w:line="360" w:lineRule="auto"/>
              <w:jc w:val="center"/>
              <w:rPr>
                <w:rFonts w:hint="eastAsia" w:ascii="宋体" w:hAnsi="宋体"/>
                <w:b/>
                <w:bCs/>
                <w:color w:val="auto"/>
                <w:highlight w:val="none"/>
              </w:rPr>
            </w:pPr>
            <w:r>
              <w:rPr>
                <w:rFonts w:hint="eastAsia" w:ascii="宋体" w:hAnsi="宋体"/>
                <w:b/>
                <w:bCs/>
                <w:color w:val="auto"/>
                <w:highlight w:val="none"/>
              </w:rPr>
              <w:t>其他</w:t>
            </w:r>
          </w:p>
        </w:tc>
        <w:tc>
          <w:tcPr>
            <w:tcW w:w="7721" w:type="dxa"/>
            <w:gridSpan w:val="4"/>
            <w:noWrap w:val="0"/>
            <w:vAlign w:val="center"/>
          </w:tcPr>
          <w:p>
            <w:pPr>
              <w:spacing w:line="360" w:lineRule="auto"/>
              <w:rPr>
                <w:rFonts w:ascii="宋体" w:hAnsi="宋体" w:cs="宋体"/>
                <w:color w:val="auto"/>
                <w:highlight w:val="none"/>
              </w:rPr>
            </w:pPr>
            <w:r>
              <w:rPr>
                <w:rFonts w:hint="eastAsia" w:ascii="宋体" w:hAnsi="宋体" w:cs="宋体"/>
                <w:color w:val="auto"/>
                <w:highlight w:val="none"/>
              </w:rPr>
              <w:t>1.竞标报价是履行合同的最终价格，合计金额包含但不限于完成采购需求服务所</w:t>
            </w:r>
            <w:r>
              <w:rPr>
                <w:rFonts w:hint="eastAsia" w:ascii="宋体" w:hAnsi="宋体" w:cs="宋体"/>
                <w:color w:val="auto"/>
                <w:highlight w:val="none"/>
                <w:lang w:eastAsia="zh-CN"/>
              </w:rPr>
              <w:t>必需的</w:t>
            </w:r>
            <w:r>
              <w:rPr>
                <w:rFonts w:hint="eastAsia" w:ascii="宋体" w:hAnsi="宋体" w:cs="宋体"/>
                <w:color w:val="auto"/>
                <w:highlight w:val="none"/>
              </w:rPr>
              <w:t>人员、交通、保险、各项税费、提供售后服务等相关的一切费用及合同实施过程中不可预见费用等完成本次采购项下的全部费用。供应商报价时应考虑各种风险因素。</w:t>
            </w:r>
          </w:p>
        </w:tc>
      </w:tr>
    </w:tbl>
    <w:p>
      <w:pPr>
        <w:rPr>
          <w:rFonts w:hint="eastAsia"/>
          <w:color w:val="auto"/>
          <w:highlight w:val="none"/>
        </w:rPr>
      </w:pPr>
    </w:p>
    <w:p>
      <w:pPr>
        <w:spacing w:line="440" w:lineRule="exact"/>
        <w:rPr>
          <w:rFonts w:hint="eastAsia" w:ascii="宋体" w:hAnsi="宋体" w:cs="宋体"/>
          <w:b/>
          <w:bCs/>
          <w:color w:val="auto"/>
          <w:sz w:val="28"/>
          <w:szCs w:val="28"/>
          <w:highlight w:val="none"/>
        </w:rPr>
      </w:pPr>
    </w:p>
    <w:p>
      <w:pPr>
        <w:pStyle w:val="4"/>
        <w:jc w:val="center"/>
        <w:rPr>
          <w:rFonts w:hint="eastAsia"/>
          <w:color w:val="auto"/>
          <w:highlight w:val="none"/>
        </w:rPr>
      </w:pPr>
      <w:r>
        <w:rPr>
          <w:rFonts w:hint="eastAsia" w:ascii="宋体" w:hAnsi="宋体" w:cs="宋体"/>
          <w:color w:val="auto"/>
          <w:sz w:val="28"/>
          <w:szCs w:val="28"/>
          <w:highlight w:val="none"/>
        </w:rPr>
        <w:br w:type="page"/>
      </w:r>
      <w:bookmarkEnd w:id="124"/>
      <w:bookmarkEnd w:id="125"/>
      <w:bookmarkStart w:id="126" w:name="_Toc17863"/>
      <w:bookmarkStart w:id="127" w:name="_Toc30694"/>
      <w:bookmarkStart w:id="128" w:name="_Toc5294"/>
      <w:bookmarkStart w:id="129" w:name="_Toc22511"/>
      <w:bookmarkStart w:id="130" w:name="_Toc25600"/>
      <w:bookmarkStart w:id="131" w:name="_Toc24147"/>
      <w:bookmarkStart w:id="132" w:name="_Toc8866"/>
      <w:bookmarkStart w:id="133" w:name="_Toc2651"/>
      <w:bookmarkStart w:id="134" w:name="_Toc18575"/>
      <w:bookmarkStart w:id="135" w:name="_Toc18939"/>
      <w:bookmarkStart w:id="136" w:name="_Toc21039"/>
      <w:bookmarkStart w:id="137" w:name="_Toc27300"/>
      <w:bookmarkStart w:id="138" w:name="_Toc44229896"/>
      <w:bookmarkStart w:id="139" w:name="_Toc14837"/>
      <w:bookmarkStart w:id="140" w:name="_Toc8514"/>
      <w:bookmarkStart w:id="141" w:name="_Toc4026"/>
      <w:bookmarkStart w:id="142" w:name="_Toc15904"/>
      <w:r>
        <w:rPr>
          <w:rFonts w:hint="eastAsia"/>
          <w:color w:val="auto"/>
          <w:highlight w:val="none"/>
        </w:rPr>
        <w:t>第四章 评审程序、评审方法和评审标准</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spacing w:line="360" w:lineRule="auto"/>
        <w:jc w:val="center"/>
        <w:rPr>
          <w:rFonts w:hint="eastAsia" w:ascii="宋体" w:hAnsi="宋体"/>
          <w:b/>
          <w:color w:val="auto"/>
          <w:sz w:val="32"/>
          <w:szCs w:val="32"/>
          <w:highlight w:val="none"/>
        </w:rPr>
      </w:pPr>
      <w:r>
        <w:rPr>
          <w:rFonts w:hint="eastAsia" w:ascii="宋体" w:hAnsi="宋体"/>
          <w:b/>
          <w:color w:val="auto"/>
          <w:sz w:val="32"/>
          <w:szCs w:val="32"/>
          <w:highlight w:val="none"/>
        </w:rPr>
        <w:t>一、评审程序和评审方法</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1.资格审查</w:t>
      </w:r>
    </w:p>
    <w:p>
      <w:pPr>
        <w:snapToGrid w:val="0"/>
        <w:spacing w:line="360" w:lineRule="auto"/>
        <w:ind w:firstLine="420" w:firstLineChars="200"/>
        <w:rPr>
          <w:rFonts w:ascii="宋体" w:hAnsi="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.1</w:t>
      </w:r>
      <w:r>
        <w:rPr>
          <w:rFonts w:hint="eastAsia" w:ascii="宋体" w:hAnsi="宋体"/>
          <w:color w:val="auto"/>
          <w:szCs w:val="21"/>
          <w:highlight w:val="none"/>
        </w:rPr>
        <w:t>响应文件开启后，磋商小组依法对供应商的资格证明文件进行审查。</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注：广西政府采购云平台已与“信用中国”平台做接口，资格评审专家可直接在线查询。</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（1）查询渠道：“信用中国”网站(www.creditchina.gov.cn)、中国政府采购网(www.ccgp.gov.cn)。</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w:t>
      </w:r>
      <w:r>
        <w:rPr>
          <w:rFonts w:ascii="宋体" w:hAnsi="宋体" w:cs="宋体"/>
          <w:color w:val="auto"/>
          <w:szCs w:val="21"/>
          <w:highlight w:val="none"/>
        </w:rPr>
        <w:t>的，视同联合体存在不良信用记录。</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1.3供应商有下列情形之一的，资格审查不通过，其响应文件按无效响应处理：</w:t>
      </w:r>
    </w:p>
    <w:p>
      <w:pPr>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（1）不具备磋商文件中规定的资格要求的；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1.4通过资格审查的合格供应商不足3家的，不得进入符合性审查环节，采购人或者采购代理机构应当重新开展采购活动。</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2.符合性审查</w:t>
      </w:r>
    </w:p>
    <w:p>
      <w:pPr>
        <w:spacing w:line="360" w:lineRule="auto"/>
        <w:ind w:firstLine="420" w:firstLineChars="200"/>
        <w:rPr>
          <w:rFonts w:hint="eastAsia" w:ascii="宋体" w:hAnsi="宋体" w:cs="宋体"/>
          <w:color w:val="auto"/>
          <w:szCs w:val="21"/>
          <w:highlight w:val="none"/>
        </w:rPr>
      </w:pPr>
      <w:bookmarkStart w:id="143" w:name="_Hlk42528882"/>
      <w:r>
        <w:rPr>
          <w:rFonts w:ascii="宋体" w:hAnsi="宋体" w:cs="宋体"/>
          <w:color w:val="auto"/>
          <w:szCs w:val="21"/>
          <w:highlight w:val="none"/>
        </w:rPr>
        <w:t>2.1</w:t>
      </w:r>
      <w:r>
        <w:rPr>
          <w:rFonts w:hint="eastAsia" w:ascii="宋体" w:hAnsi="宋体" w:cs="宋体"/>
          <w:color w:val="auto"/>
          <w:szCs w:val="21"/>
          <w:highlight w:val="none"/>
        </w:rPr>
        <w:t>由磋商小组对</w:t>
      </w:r>
      <w:r>
        <w:rPr>
          <w:rFonts w:hint="eastAsia" w:ascii="宋体" w:hAnsi="宋体"/>
          <w:color w:val="auto"/>
          <w:szCs w:val="21"/>
          <w:highlight w:val="none"/>
        </w:rPr>
        <w:t>通过资格审查的合格供应商</w:t>
      </w:r>
      <w:r>
        <w:rPr>
          <w:rFonts w:hint="eastAsia" w:ascii="宋体" w:hAnsi="宋体" w:cs="宋体"/>
          <w:color w:val="auto"/>
          <w:szCs w:val="21"/>
          <w:highlight w:val="none"/>
        </w:rPr>
        <w:t>的响应文件的竞标报价、商务、技术等实质性要求进行符合性审查，以确定其是否满足磋商文件的实质性要求。</w:t>
      </w:r>
    </w:p>
    <w:bookmarkEnd w:id="143"/>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电子签名）或者加盖公章</w:t>
      </w:r>
      <w:r>
        <w:rPr>
          <w:rFonts w:hint="eastAsia"/>
          <w:color w:val="auto"/>
          <w:highlight w:val="none"/>
        </w:rPr>
        <w:t>（或电子签章）</w:t>
      </w:r>
      <w:r>
        <w:rPr>
          <w:rFonts w:hint="eastAsia" w:ascii="宋体" w:hAnsi="宋体" w:cs="宋体"/>
          <w:color w:val="auto"/>
          <w:szCs w:val="21"/>
          <w:highlight w:val="none"/>
        </w:rPr>
        <w:t>。</w:t>
      </w:r>
    </w:p>
    <w:p>
      <w:pPr>
        <w:spacing w:line="360" w:lineRule="auto"/>
        <w:ind w:firstLine="396" w:firstLineChars="200"/>
        <w:rPr>
          <w:rFonts w:hint="eastAsia" w:ascii="宋体" w:hAnsi="宋体" w:cs="宋体"/>
          <w:color w:val="auto"/>
          <w:szCs w:val="21"/>
          <w:highlight w:val="none"/>
        </w:rPr>
      </w:pPr>
      <w:r>
        <w:rPr>
          <w:rFonts w:ascii="宋体" w:hAnsi="宋体" w:cs="宋体"/>
          <w:color w:val="auto"/>
          <w:spacing w:val="-6"/>
          <w:szCs w:val="21"/>
          <w:highlight w:val="none"/>
        </w:rPr>
        <w:t>2.4</w:t>
      </w:r>
      <w:r>
        <w:rPr>
          <w:rFonts w:hint="eastAsia" w:ascii="宋体" w:hAnsi="宋体" w:cs="宋体"/>
          <w:color w:val="auto"/>
          <w:szCs w:val="21"/>
          <w:highlight w:val="none"/>
        </w:rPr>
        <w:t>首次响应文件报价出现前后不一致的，按照下列规定修正：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商务技术报价评审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1）提供响应文件正、副本数量不足；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3）委托代理人未能出具有效身份证明或者出具的身份证明与授权委托书中的信息不符；</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）未对竞标有效期作出响应或者响应文件承诺的竞标有效期不满足磋商文件要求；</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）响应文件的实质性内容未使用中文表述、使用计量单位不符合磋商文件要求；</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）响应文件中的文件资料因填写不齐全或者内容虚假或者出现其他情形而导致被磋商小组认定无效；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10</w:t>
      </w:r>
      <w:r>
        <w:rPr>
          <w:rFonts w:hint="eastAsia" w:ascii="宋体" w:hAnsi="宋体" w:cs="宋体"/>
          <w:color w:val="auto"/>
          <w:szCs w:val="21"/>
          <w:highlight w:val="none"/>
        </w:rPr>
        <w:t>）响应文件含有采购人不能接受的附加条件；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w:t>
      </w:r>
      <w:r>
        <w:rPr>
          <w:rFonts w:hint="eastAsia" w:ascii="宋体" w:hAnsi="宋体" w:cs="宋体"/>
          <w:color w:val="auto"/>
          <w:szCs w:val="21"/>
          <w:highlight w:val="none"/>
        </w:rPr>
        <w:t>）属于“供应商须知正文”第7.</w:t>
      </w:r>
      <w:r>
        <w:rPr>
          <w:rFonts w:ascii="宋体" w:hAnsi="宋体" w:cs="宋体"/>
          <w:color w:val="auto"/>
          <w:szCs w:val="21"/>
          <w:highlight w:val="none"/>
        </w:rPr>
        <w:t>5</w:t>
      </w:r>
      <w:r>
        <w:rPr>
          <w:rFonts w:hint="eastAsia" w:ascii="宋体" w:hAnsi="宋体" w:cs="宋体"/>
          <w:color w:val="auto"/>
          <w:szCs w:val="21"/>
          <w:highlight w:val="none"/>
        </w:rPr>
        <w:t>条情形；</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2）明显不满足磋商文件要求的技术规格、安全、质量标准，或者与磋商文件中标“▲”的技术需求或者标明实质性的要求发生负偏离；</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13</w:t>
      </w:r>
      <w:r>
        <w:rPr>
          <w:rFonts w:hint="eastAsia" w:ascii="宋体" w:hAnsi="宋体" w:cs="宋体"/>
          <w:color w:val="auto"/>
          <w:szCs w:val="21"/>
          <w:highlight w:val="none"/>
        </w:rPr>
        <w:t>）技术需求允许负偏离的条款数超过“供应商须知前附表”规定项数；</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14</w:t>
      </w:r>
      <w:r>
        <w:rPr>
          <w:rFonts w:hint="eastAsia" w:ascii="宋体" w:hAnsi="宋体" w:cs="宋体"/>
          <w:color w:val="auto"/>
          <w:szCs w:val="21"/>
          <w:highlight w:val="none"/>
        </w:rPr>
        <w:t>）虚假竞标，或者出现其他情形而导致被磋商小组认定无效；</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15</w:t>
      </w:r>
      <w:r>
        <w:rPr>
          <w:rFonts w:hint="eastAsia" w:ascii="宋体" w:hAnsi="宋体" w:cs="宋体"/>
          <w:color w:val="auto"/>
          <w:szCs w:val="21"/>
          <w:highlight w:val="none"/>
        </w:rPr>
        <w:t>）竞标技术方案不明确，磋商文件未允许</w:t>
      </w:r>
      <w:r>
        <w:rPr>
          <w:rFonts w:hint="eastAsia" w:ascii="宋体" w:hAnsi="宋体"/>
          <w:color w:val="auto"/>
          <w:szCs w:val="21"/>
          <w:highlight w:val="none"/>
        </w:rPr>
        <w:t>但响应文件中</w:t>
      </w:r>
      <w:r>
        <w:rPr>
          <w:rFonts w:hint="eastAsia" w:ascii="宋体" w:hAnsi="宋体" w:cs="宋体"/>
          <w:color w:val="auto"/>
          <w:szCs w:val="21"/>
          <w:highlight w:val="none"/>
        </w:rPr>
        <w:t>存在一个或者一个以上备选（替代）竞标方案；</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6）未响应磋商文件实质性要求；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r>
        <w:rPr>
          <w:rFonts w:hint="eastAsia" w:ascii="宋体" w:hAnsi="宋体" w:cs="宋体"/>
          <w:color w:val="auto"/>
          <w:szCs w:val="21"/>
          <w:highlight w:val="none"/>
        </w:rPr>
        <w:t>）法律、法规和磋商文件规定的其他无效情形。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）报价评审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1)响应文件未提供“供应商须知前附表”报价商务技术文件中规定的“竞标报价表”；</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w:t>
      </w:r>
      <w:bookmarkStart w:id="144" w:name="_Hlk42596405"/>
      <w:r>
        <w:rPr>
          <w:rFonts w:hint="eastAsia" w:ascii="宋体" w:hAnsi="宋体" w:cs="宋体"/>
          <w:color w:val="auto"/>
          <w:szCs w:val="21"/>
          <w:highlight w:val="none"/>
        </w:rPr>
        <w:t>竞标报价（包含首次报价、最后报价）</w:t>
      </w:r>
      <w:bookmarkEnd w:id="144"/>
      <w:bookmarkStart w:id="145" w:name="_Hlk42596276"/>
      <w:r>
        <w:rPr>
          <w:rFonts w:hint="eastAsia" w:ascii="宋体" w:hAnsi="宋体" w:cs="宋体"/>
          <w:color w:val="auto"/>
          <w:szCs w:val="21"/>
          <w:highlight w:val="none"/>
        </w:rPr>
        <w:t>超过磋商文件分项采购预算金额或者最高限价的</w:t>
      </w:r>
      <w:bookmarkEnd w:id="145"/>
      <w:r>
        <w:rPr>
          <w:rFonts w:hint="eastAsia" w:ascii="宋体" w:hAnsi="宋体" w:cs="宋体"/>
          <w:color w:val="auto"/>
          <w:szCs w:val="21"/>
          <w:highlight w:val="none"/>
        </w:rPr>
        <w:t>（如本项目公布了最高限价）；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2.6</w:t>
      </w:r>
      <w:r>
        <w:rPr>
          <w:rFonts w:hint="eastAsia" w:ascii="宋体" w:hAnsi="宋体" w:cs="宋体"/>
          <w:color w:val="auto"/>
          <w:szCs w:val="21"/>
          <w:highlight w:val="none"/>
        </w:rPr>
        <w:t>磋商小组对响应文件进行评审，未实质性响应磋商文件的响应文件按无效处理，由磋商小组告知有关供应商。磋商小组从符合磋商文件规定的相应资格条件的供应商名单中确定不少于3家的供应商参加磋商。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2.7</w:t>
      </w:r>
      <w:r>
        <w:rPr>
          <w:rFonts w:hint="eastAsia" w:ascii="宋体" w:hAnsi="宋体"/>
          <w:color w:val="auto"/>
          <w:szCs w:val="21"/>
          <w:highlight w:val="none"/>
        </w:rPr>
        <w:t>通过符合性审查的合格供应商不足3家的，不得进入磋商环节，采购人或者采购代理机构应当重新开展采购活动。</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3.磋商</w:t>
      </w:r>
    </w:p>
    <w:p>
      <w:pPr>
        <w:spacing w:line="360" w:lineRule="auto"/>
        <w:ind w:firstLine="420" w:firstLineChars="200"/>
        <w:rPr>
          <w:rFonts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.磋商的程序</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ascii="宋体" w:hAnsi="宋体" w:cs="宋体"/>
          <w:color w:val="auto"/>
          <w:kern w:val="0"/>
          <w:szCs w:val="21"/>
          <w:highlight w:val="none"/>
        </w:rPr>
        <w:t>.1</w:t>
      </w:r>
      <w:r>
        <w:rPr>
          <w:rFonts w:hint="eastAsia" w:ascii="宋体" w:hAnsi="宋体" w:cs="宋体"/>
          <w:color w:val="auto"/>
          <w:kern w:val="0"/>
          <w:szCs w:val="21"/>
          <w:highlight w:val="none"/>
        </w:rPr>
        <w:t>磋商小组按照“供应商须知前附表”确定的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3.2</w:t>
      </w:r>
      <w:r>
        <w:rPr>
          <w:rFonts w:hint="eastAsia" w:ascii="宋体" w:hAnsi="宋体" w:cs="宋体"/>
          <w:color w:val="auto"/>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3.3</w:t>
      </w:r>
      <w:r>
        <w:rPr>
          <w:rFonts w:hint="eastAsia" w:ascii="宋体" w:hAnsi="宋体" w:cs="宋体"/>
          <w:color w:val="auto"/>
          <w:szCs w:val="21"/>
          <w:highlight w:val="none"/>
        </w:rPr>
        <w:t>对磋商文件作出的实质性变动是磋商文件的有效组成部分，由磋商小组及时同时通知所有参加磋商的供应商。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3.4</w:t>
      </w:r>
      <w:r>
        <w:rPr>
          <w:rFonts w:hint="eastAsia" w:ascii="宋体" w:hAnsi="宋体" w:cs="宋体"/>
          <w:color w:val="auto"/>
          <w:szCs w:val="21"/>
          <w:highlight w:val="none"/>
        </w:rPr>
        <w:t>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。供应商为自然人的，必须由本人签字并附身份证明。参加磋商的供应商未在规定时间内重新提交响应文件的，视同</w:t>
      </w:r>
      <w:bookmarkStart w:id="146" w:name="_Hlk55814495"/>
      <w:r>
        <w:rPr>
          <w:rFonts w:hint="eastAsia" w:ascii="宋体" w:hAnsi="宋体" w:cs="宋体"/>
          <w:color w:val="auto"/>
          <w:szCs w:val="21"/>
          <w:highlight w:val="none"/>
        </w:rPr>
        <w:t>退出磋商</w:t>
      </w:r>
      <w:bookmarkEnd w:id="146"/>
      <w:r>
        <w:rPr>
          <w:rFonts w:hint="eastAsia" w:ascii="宋体" w:hAnsi="宋体" w:cs="宋体"/>
          <w:color w:val="auto"/>
          <w:szCs w:val="21"/>
          <w:highlight w:val="none"/>
        </w:rPr>
        <w:t>，其响应文件作无效处理。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3.5</w:t>
      </w:r>
      <w:r>
        <w:rPr>
          <w:rFonts w:hint="eastAsia" w:ascii="宋体" w:hAnsi="宋体" w:cs="宋体"/>
          <w:color w:val="auto"/>
          <w:szCs w:val="21"/>
          <w:highlight w:val="none"/>
        </w:rPr>
        <w:t>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3.6</w:t>
      </w:r>
      <w:r>
        <w:rPr>
          <w:rFonts w:hint="eastAsia" w:ascii="宋体" w:hAnsi="宋体" w:cs="宋体"/>
          <w:color w:val="auto"/>
          <w:szCs w:val="21"/>
          <w:highlight w:val="none"/>
        </w:rPr>
        <w:t>采购代理机构对磋商过程和重要磋商内容进行记录，磋商双方在记录上签字确认。</w:t>
      </w:r>
    </w:p>
    <w:p>
      <w:pPr>
        <w:widowControl/>
        <w:tabs>
          <w:tab w:val="left" w:pos="540"/>
        </w:tabs>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3.7</w:t>
      </w:r>
      <w:r>
        <w:rPr>
          <w:rFonts w:hint="eastAsia" w:ascii="宋体" w:hAnsi="宋体" w:cs="宋体"/>
          <w:color w:val="auto"/>
          <w:szCs w:val="21"/>
          <w:highlight w:val="none"/>
        </w:rPr>
        <w:t>磋商过程中重新提交的响应文件，供应商可以在开启前补充、修改。</w:t>
      </w:r>
    </w:p>
    <w:p>
      <w:pPr>
        <w:widowControl/>
        <w:tabs>
          <w:tab w:val="left" w:pos="540"/>
        </w:tabs>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3.8</w:t>
      </w:r>
      <w:r>
        <w:rPr>
          <w:rFonts w:ascii="宋体" w:hAnsi="宋体"/>
          <w:color w:val="auto"/>
          <w:szCs w:val="21"/>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tabs>
          <w:tab w:val="left" w:pos="2835"/>
        </w:tabs>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3.9</w:t>
      </w:r>
      <w:r>
        <w:rPr>
          <w:rFonts w:hint="eastAsia" w:ascii="宋体" w:hAnsi="宋体"/>
          <w:color w:val="auto"/>
          <w:szCs w:val="21"/>
          <w:highlight w:val="none"/>
        </w:rPr>
        <w:t>对磋商过程提交的响应文件进行有效性、完整性和响应程度审查，通过审查的合格供应商不足3家的，除本章第</w:t>
      </w:r>
      <w:r>
        <w:rPr>
          <w:rFonts w:ascii="宋体" w:hAnsi="宋体"/>
          <w:color w:val="auto"/>
          <w:szCs w:val="21"/>
          <w:highlight w:val="none"/>
        </w:rPr>
        <w:t>3.8</w:t>
      </w:r>
      <w:r>
        <w:rPr>
          <w:rFonts w:hint="eastAsia" w:ascii="宋体" w:hAnsi="宋体"/>
          <w:color w:val="auto"/>
          <w:szCs w:val="21"/>
          <w:highlight w:val="none"/>
        </w:rPr>
        <w:t>条的情形外，采购人或者采购代理机构应当重新开展采购活动。</w:t>
      </w:r>
    </w:p>
    <w:p>
      <w:pPr>
        <w:spacing w:line="360" w:lineRule="auto"/>
        <w:ind w:firstLine="481" w:firstLineChars="200"/>
        <w:rPr>
          <w:rFonts w:hint="eastAsia" w:ascii="宋体" w:hAnsi="宋体" w:cs="宋体"/>
          <w:color w:val="auto"/>
          <w:szCs w:val="21"/>
          <w:highlight w:val="none"/>
        </w:rPr>
      </w:pPr>
      <w:r>
        <w:rPr>
          <w:rFonts w:hint="eastAsia" w:ascii="宋体" w:hAnsi="宋体" w:cs="宋体"/>
          <w:b/>
          <w:bCs/>
          <w:color w:val="auto"/>
          <w:sz w:val="24"/>
          <w:highlight w:val="none"/>
        </w:rPr>
        <w:t>4.最后报价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磋商文件能够详细列明采购标的的技术、服务要求的，磋商结束后，由磋商小组要求所有继续参加磋商的供应商在规定时间内密封提交最后报价，提交最后报价的供应商不得少于3家，除本章第</w:t>
      </w:r>
      <w:r>
        <w:rPr>
          <w:rFonts w:ascii="宋体" w:hAnsi="宋体" w:cs="宋体"/>
          <w:color w:val="auto"/>
          <w:szCs w:val="21"/>
          <w:highlight w:val="none"/>
        </w:rPr>
        <w:t>4.3</w:t>
      </w:r>
      <w:r>
        <w:rPr>
          <w:rFonts w:hint="eastAsia" w:ascii="宋体" w:hAnsi="宋体" w:cs="宋体"/>
          <w:color w:val="auto"/>
          <w:szCs w:val="21"/>
          <w:highlight w:val="none"/>
        </w:rPr>
        <w:t>条外，否则必须重新采购。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4.3</w:t>
      </w:r>
      <w:r>
        <w:rPr>
          <w:rFonts w:hint="eastAsia" w:ascii="宋体" w:hAnsi="宋体" w:cs="宋体"/>
          <w:color w:val="auto"/>
          <w:szCs w:val="21"/>
          <w:highlight w:val="none"/>
        </w:rPr>
        <w:t>最后报价是供应商响应文件的有效组成部分。符合《政府采购竞争性磋商采购方式管理暂行办法》（财库〔2014〕214号）第三条第四项“市场竞争不充分的科研项目，以及需要扶持的科技成果转化项目”和本章第</w:t>
      </w:r>
      <w:r>
        <w:rPr>
          <w:rFonts w:ascii="宋体" w:hAnsi="宋体" w:cs="宋体"/>
          <w:color w:val="auto"/>
          <w:szCs w:val="21"/>
          <w:highlight w:val="none"/>
        </w:rPr>
        <w:t>3.8</w:t>
      </w:r>
      <w:r>
        <w:rPr>
          <w:rFonts w:hint="eastAsia" w:ascii="宋体" w:hAnsi="宋体" w:cs="宋体"/>
          <w:color w:val="auto"/>
          <w:szCs w:val="21"/>
          <w:highlight w:val="none"/>
        </w:rPr>
        <w:t>条情形的，提交最后报价的供应商可以为2家。</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4.4</w:t>
      </w:r>
      <w:r>
        <w:rPr>
          <w:rFonts w:hint="eastAsia" w:ascii="宋体" w:hAnsi="宋体" w:cs="宋体"/>
          <w:color w:val="auto"/>
          <w:szCs w:val="21"/>
          <w:highlight w:val="none"/>
        </w:rPr>
        <w:t>已经提交响应文件的供应商，在提交最后报价之前，可以根据磋商情况退出磋商，退出磋商的供应商的响应文件按无效响应处理。采购人、采购代理机构将退还退出磋商的供应商的保证金。</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4.5</w:t>
      </w:r>
      <w:r>
        <w:rPr>
          <w:rFonts w:hint="eastAsia" w:ascii="宋体" w:hAnsi="宋体" w:cs="宋体"/>
          <w:color w:val="auto"/>
          <w:szCs w:val="21"/>
          <w:highlight w:val="none"/>
        </w:rPr>
        <w:t>供应商未在规定时间内提交最后报价的，视为退出磋商，其响应文件作无效处理。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4.6</w:t>
      </w:r>
      <w:r>
        <w:rPr>
          <w:rFonts w:hint="eastAsia" w:ascii="宋体" w:hAnsi="宋体" w:cs="宋体"/>
          <w:color w:val="auto"/>
          <w:szCs w:val="21"/>
          <w:highlight w:val="none"/>
        </w:rPr>
        <w:t>磋商小组收齐某一分标最后报价后统一开启，磋商小组对最后报价进行有效性、完整性和响应程度的审查。</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4.7</w:t>
      </w:r>
      <w:r>
        <w:rPr>
          <w:rFonts w:hint="eastAsia" w:ascii="宋体" w:hAnsi="宋体" w:cs="宋体"/>
          <w:color w:val="auto"/>
          <w:szCs w:val="21"/>
          <w:highlight w:val="none"/>
        </w:rPr>
        <w:t>响应文件最后报价出现前后不一致的，按照本章第</w:t>
      </w:r>
      <w:r>
        <w:rPr>
          <w:rFonts w:ascii="宋体" w:hAnsi="宋体" w:cs="宋体"/>
          <w:color w:val="auto"/>
          <w:szCs w:val="21"/>
          <w:highlight w:val="none"/>
        </w:rPr>
        <w:t>2.4</w:t>
      </w:r>
      <w:r>
        <w:rPr>
          <w:rFonts w:hint="eastAsia" w:ascii="宋体" w:hAnsi="宋体" w:cs="宋体"/>
          <w:color w:val="auto"/>
          <w:szCs w:val="21"/>
          <w:highlight w:val="none"/>
        </w:rPr>
        <w:t>条的规定修正。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4.8</w:t>
      </w:r>
      <w:r>
        <w:rPr>
          <w:rFonts w:hint="eastAsia" w:ascii="宋体" w:hAnsi="宋体" w:cs="宋体"/>
          <w:color w:val="auto"/>
          <w:szCs w:val="21"/>
          <w:highlight w:val="none"/>
        </w:rPr>
        <w:t>修正后的报价出现下列情形的，按无效响应处理：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4.9</w:t>
      </w:r>
      <w:r>
        <w:rPr>
          <w:rFonts w:hint="eastAsia" w:ascii="宋体" w:hAnsi="宋体" w:cs="宋体"/>
          <w:color w:val="auto"/>
          <w:szCs w:val="21"/>
          <w:highlight w:val="none"/>
        </w:rPr>
        <w:t>经供应商确认修正后的最后报价作为评审及签订合同的依据。</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4.10</w:t>
      </w:r>
      <w:r>
        <w:rPr>
          <w:rFonts w:hint="eastAsia" w:ascii="宋体" w:hAnsi="宋体" w:cs="宋体"/>
          <w:color w:val="auto"/>
          <w:szCs w:val="21"/>
          <w:highlight w:val="none"/>
        </w:rPr>
        <w:t>最后报价结束后，磋商小组不得再与供应商进行任何形式的商谈。</w:t>
      </w:r>
    </w:p>
    <w:p>
      <w:pPr>
        <w:spacing w:line="360" w:lineRule="auto"/>
        <w:ind w:firstLine="481" w:firstLineChars="200"/>
        <w:rPr>
          <w:rFonts w:hint="eastAsia" w:ascii="宋体" w:hAnsi="宋体" w:cs="宋体"/>
          <w:b/>
          <w:bCs/>
          <w:color w:val="auto"/>
          <w:sz w:val="24"/>
          <w:highlight w:val="none"/>
        </w:rPr>
      </w:pPr>
      <w:r>
        <w:rPr>
          <w:rFonts w:hint="eastAsia" w:ascii="宋体" w:hAnsi="宋体" w:cs="宋体"/>
          <w:b/>
          <w:bCs/>
          <w:color w:val="auto"/>
          <w:sz w:val="24"/>
          <w:highlight w:val="none"/>
        </w:rPr>
        <w:t>5.比较与评价</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5.1</w:t>
      </w:r>
      <w:r>
        <w:rPr>
          <w:rFonts w:hint="eastAsia" w:ascii="宋体" w:hAnsi="宋体" w:cs="宋体"/>
          <w:color w:val="auto"/>
          <w:szCs w:val="21"/>
          <w:highlight w:val="none"/>
        </w:rPr>
        <w:t>评审方法：综合评分法。</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5.2</w:t>
      </w:r>
      <w:r>
        <w:rPr>
          <w:rFonts w:hint="eastAsia" w:ascii="宋体" w:hAnsi="宋体" w:cs="宋体"/>
          <w:color w:val="auto"/>
          <w:szCs w:val="21"/>
          <w:highlight w:val="none"/>
        </w:rPr>
        <w:t>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5.3</w:t>
      </w:r>
      <w:r>
        <w:rPr>
          <w:rFonts w:hint="eastAsia" w:ascii="宋体" w:hAnsi="宋体" w:cs="宋体"/>
          <w:color w:val="auto"/>
          <w:szCs w:val="21"/>
          <w:highlight w:val="none"/>
        </w:rPr>
        <w:t>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5.4</w:t>
      </w:r>
      <w:r>
        <w:rPr>
          <w:rFonts w:hint="eastAsia" w:ascii="宋体" w:hAnsi="宋体" w:cs="宋体"/>
          <w:color w:val="auto"/>
          <w:szCs w:val="21"/>
          <w:highlight w:val="none"/>
        </w:rPr>
        <w:t>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ascii="宋体" w:hAnsi="宋体"/>
          <w:color w:val="auto"/>
          <w:kern w:val="0"/>
          <w:szCs w:val="21"/>
          <w:highlight w:val="none"/>
        </w:rPr>
      </w:pPr>
      <w:r>
        <w:rPr>
          <w:rFonts w:ascii="宋体" w:hAnsi="宋体" w:cs="宋体"/>
          <w:color w:val="auto"/>
          <w:szCs w:val="21"/>
          <w:highlight w:val="none"/>
        </w:rPr>
        <w:t>5.5</w:t>
      </w:r>
      <w:r>
        <w:rPr>
          <w:rFonts w:hint="eastAsia" w:ascii="宋体" w:hAnsi="宋体" w:cs="宋体"/>
          <w:color w:val="auto"/>
          <w:szCs w:val="21"/>
          <w:highlight w:val="none"/>
        </w:rPr>
        <w:t>由磋商小组根据综合评分情况，</w:t>
      </w:r>
      <w:r>
        <w:rPr>
          <w:rFonts w:hint="eastAsia" w:ascii="宋体" w:hAnsi="宋体"/>
          <w:bCs/>
          <w:color w:val="auto"/>
          <w:szCs w:val="21"/>
          <w:highlight w:val="none"/>
        </w:rPr>
        <w:t>按照评审得分由高到低顺序推荐3名以上成交候选供应商，并编写评审报告。符合本章第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业绩分由高到低排序）。评审得分、最后报价（不计算价格折扣）、技术得分、业绩分均相同的，由磋商小组随机抽取推荐。</w:t>
      </w:r>
    </w:p>
    <w:p>
      <w:pPr>
        <w:spacing w:line="360" w:lineRule="auto"/>
        <w:ind w:firstLine="420" w:firstLineChars="200"/>
        <w:rPr>
          <w:rFonts w:hint="eastAsia" w:ascii="宋体" w:hAnsi="宋体" w:cs="宋体"/>
          <w:color w:val="auto"/>
          <w:szCs w:val="21"/>
          <w:highlight w:val="none"/>
        </w:rPr>
      </w:pPr>
      <w:r>
        <w:rPr>
          <w:rFonts w:ascii="宋体" w:hAnsi="宋体"/>
          <w:color w:val="auto"/>
          <w:kern w:val="0"/>
          <w:szCs w:val="21"/>
          <w:highlight w:val="none"/>
        </w:rPr>
        <w:t>5.6</w:t>
      </w:r>
      <w:r>
        <w:rPr>
          <w:rFonts w:hint="eastAsia" w:ascii="宋体" w:hAnsi="宋体"/>
          <w:color w:val="auto"/>
          <w:kern w:val="0"/>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二、评审标准</w:t>
      </w:r>
    </w:p>
    <w:p>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w:t>
      </w:r>
      <w:r>
        <w:rPr>
          <w:rFonts w:ascii="宋体" w:hAnsi="宋体"/>
          <w:bCs/>
          <w:color w:val="auto"/>
          <w:szCs w:val="21"/>
          <w:highlight w:val="none"/>
        </w:rPr>
        <w:t>.</w:t>
      </w:r>
      <w:r>
        <w:rPr>
          <w:rFonts w:hint="eastAsia" w:ascii="宋体" w:hAnsi="宋体"/>
          <w:bCs/>
          <w:color w:val="auto"/>
          <w:szCs w:val="21"/>
          <w:highlight w:val="none"/>
        </w:rPr>
        <w:t>评审依据：磋商小组将以磋商响应文件为评审依据，对供应商的报价、技术、商务等方面内容按百分制打分。（计分方法按四舍五入取至百分位）</w:t>
      </w:r>
    </w:p>
    <w:tbl>
      <w:tblPr>
        <w:tblStyle w:val="32"/>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566"/>
        <w:gridCol w:w="6146"/>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序号</w:t>
            </w:r>
          </w:p>
        </w:tc>
        <w:tc>
          <w:tcPr>
            <w:tcW w:w="1566" w:type="dxa"/>
            <w:noWrap w:val="0"/>
            <w:vAlign w:val="center"/>
          </w:tcPr>
          <w:p>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w:t>
            </w:r>
          </w:p>
        </w:tc>
        <w:tc>
          <w:tcPr>
            <w:tcW w:w="6146" w:type="dxa"/>
            <w:noWrap w:val="0"/>
            <w:vAlign w:val="center"/>
          </w:tcPr>
          <w:p>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评审因素具体内容</w:t>
            </w:r>
          </w:p>
        </w:tc>
        <w:tc>
          <w:tcPr>
            <w:tcW w:w="1184" w:type="dxa"/>
            <w:noWrap w:val="0"/>
            <w:vAlign w:val="center"/>
          </w:tcPr>
          <w:p>
            <w:pPr>
              <w:widowControl/>
              <w:spacing w:line="360" w:lineRule="auto"/>
              <w:jc w:val="center"/>
              <w:rPr>
                <w:rFonts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1</w:t>
            </w:r>
          </w:p>
        </w:tc>
        <w:tc>
          <w:tcPr>
            <w:tcW w:w="1566" w:type="dxa"/>
            <w:noWrap w:val="0"/>
            <w:vAlign w:val="center"/>
          </w:tcPr>
          <w:p>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价格分</w:t>
            </w:r>
          </w:p>
          <w:p>
            <w:pPr>
              <w:widowControl/>
              <w:spacing w:line="360" w:lineRule="auto"/>
              <w:jc w:val="center"/>
              <w:rPr>
                <w:rFonts w:hint="eastAsia" w:ascii="宋体" w:hAnsi="宋体" w:cs="Tahoma"/>
                <w:color w:val="auto"/>
                <w:kern w:val="0"/>
                <w:szCs w:val="21"/>
                <w:highlight w:val="none"/>
              </w:rPr>
            </w:pPr>
            <w:r>
              <w:rPr>
                <w:rFonts w:hint="eastAsia" w:ascii="宋体" w:hAnsi="宋体" w:cs="Tahoma"/>
                <w:color w:val="auto"/>
                <w:kern w:val="0"/>
                <w:szCs w:val="21"/>
                <w:highlight w:val="none"/>
              </w:rPr>
              <w:t>（满分10分）</w:t>
            </w:r>
          </w:p>
        </w:tc>
        <w:tc>
          <w:tcPr>
            <w:tcW w:w="6146" w:type="dxa"/>
            <w:noWrap w:val="0"/>
            <w:vAlign w:val="top"/>
          </w:tcPr>
          <w:p>
            <w:pPr>
              <w:pStyle w:val="20"/>
              <w:spacing w:line="360" w:lineRule="auto"/>
              <w:ind w:firstLine="420" w:firstLineChars="200"/>
              <w:jc w:val="left"/>
              <w:rPr>
                <w:rFonts w:hint="eastAsia" w:hAnsi="宋体"/>
                <w:bCs/>
                <w:color w:val="auto"/>
                <w:sz w:val="21"/>
                <w:highlight w:val="none"/>
              </w:rPr>
            </w:pPr>
            <w:r>
              <w:rPr>
                <w:rFonts w:hint="eastAsia" w:hAnsi="宋体"/>
                <w:bCs/>
                <w:color w:val="auto"/>
                <w:sz w:val="21"/>
                <w:highlight w:val="none"/>
              </w:rPr>
              <w:t>（1）评审价为供应商的最后报价。</w:t>
            </w:r>
          </w:p>
          <w:p>
            <w:pPr>
              <w:pStyle w:val="20"/>
              <w:spacing w:line="360" w:lineRule="auto"/>
              <w:ind w:firstLine="421" w:firstLineChars="200"/>
              <w:jc w:val="left"/>
              <w:rPr>
                <w:rFonts w:hint="eastAsia" w:hAnsi="宋体"/>
                <w:b/>
                <w:color w:val="auto"/>
                <w:sz w:val="21"/>
                <w:highlight w:val="none"/>
              </w:rPr>
            </w:pPr>
            <w:r>
              <w:rPr>
                <w:rFonts w:hint="eastAsia" w:hAnsi="宋体"/>
                <w:b/>
                <w:color w:val="auto"/>
                <w:sz w:val="21"/>
                <w:highlight w:val="none"/>
              </w:rPr>
              <w:t>（2）本项目属于专门面向</w:t>
            </w:r>
            <w:r>
              <w:rPr>
                <w:rFonts w:hint="eastAsia" w:hAnsi="宋体"/>
                <w:b/>
                <w:color w:val="auto"/>
                <w:sz w:val="21"/>
                <w:highlight w:val="none"/>
                <w:lang w:val="en-US" w:eastAsia="zh-CN"/>
              </w:rPr>
              <w:t>中</w:t>
            </w:r>
            <w:r>
              <w:rPr>
                <w:rFonts w:hint="eastAsia" w:hAnsi="宋体"/>
                <w:b/>
                <w:color w:val="auto"/>
                <w:sz w:val="21"/>
                <w:highlight w:val="none"/>
              </w:rPr>
              <w:t>小微企业采购的项目（供应商应为</w:t>
            </w:r>
            <w:r>
              <w:rPr>
                <w:rFonts w:hint="eastAsia" w:hAnsi="宋体"/>
                <w:b/>
                <w:color w:val="auto"/>
                <w:sz w:val="21"/>
                <w:highlight w:val="none"/>
                <w:lang w:val="en-US" w:eastAsia="zh-CN"/>
              </w:rPr>
              <w:t>中</w:t>
            </w:r>
            <w:r>
              <w:rPr>
                <w:rFonts w:hint="eastAsia" w:hAnsi="宋体"/>
                <w:b/>
                <w:color w:val="auto"/>
                <w:sz w:val="21"/>
                <w:highlight w:val="none"/>
              </w:rPr>
              <w:t>小微企业、监狱企业、残疾人福利性单位），不再进行政府采购政策性扣除计算。</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（3）以进入比较与评价环节的最低的评审价为基准价，基准价得分为10分。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（4）价格分计算公式：</w:t>
            </w:r>
          </w:p>
          <w:p>
            <w:pPr>
              <w:spacing w:line="360" w:lineRule="auto"/>
              <w:ind w:firstLine="420"/>
              <w:rPr>
                <w:rFonts w:hint="eastAsia"/>
                <w:color w:val="auto"/>
                <w:szCs w:val="21"/>
                <w:highlight w:val="none"/>
              </w:rPr>
            </w:pPr>
            <w:r>
              <w:rPr>
                <w:rFonts w:hint="eastAsia" w:ascii="宋体" w:hAnsi="宋体" w:cs="宋体"/>
                <w:color w:val="auto"/>
                <w:highlight w:val="none"/>
              </w:rPr>
              <w:t>报价得分=（基准价/最后报价）×10分</w:t>
            </w:r>
          </w:p>
        </w:tc>
        <w:tc>
          <w:tcPr>
            <w:tcW w:w="1184" w:type="dxa"/>
            <w:noWrap w:val="0"/>
            <w:vAlign w:val="center"/>
          </w:tcPr>
          <w:p>
            <w:pPr>
              <w:widowControl/>
              <w:spacing w:line="360" w:lineRule="auto"/>
              <w:jc w:val="center"/>
              <w:rPr>
                <w:rFonts w:ascii="宋体" w:hAnsi="宋体" w:cs="Tahoma"/>
                <w:color w:val="auto"/>
                <w:kern w:val="0"/>
                <w:szCs w:val="21"/>
                <w:highlight w:val="none"/>
              </w:rPr>
            </w:pPr>
            <w:r>
              <w:rPr>
                <w:rFonts w:hint="eastAsia" w:ascii="宋体" w:hAnsi="宋体" w:cs="Tahoma"/>
                <w:color w:val="auto"/>
                <w:kern w:val="0"/>
                <w:szCs w:val="21"/>
                <w:highlight w:val="none"/>
              </w:rPr>
              <w:t>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05" w:type="dxa"/>
            <w:noWrap w:val="0"/>
            <w:vAlign w:val="center"/>
          </w:tcPr>
          <w:p>
            <w:pPr>
              <w:widowControl/>
              <w:spacing w:line="360" w:lineRule="auto"/>
              <w:jc w:val="center"/>
              <w:rPr>
                <w:rFonts w:hint="eastAsia" w:ascii="宋体" w:hAnsi="宋体" w:cs="Tahoma"/>
                <w:b/>
                <w:color w:val="auto"/>
                <w:kern w:val="0"/>
                <w:szCs w:val="21"/>
                <w:highlight w:val="none"/>
              </w:rPr>
            </w:pPr>
            <w:r>
              <w:rPr>
                <w:rFonts w:hint="eastAsia" w:ascii="宋体" w:hAnsi="宋体"/>
                <w:b/>
                <w:color w:val="auto"/>
                <w:kern w:val="0"/>
                <w:szCs w:val="21"/>
                <w:highlight w:val="none"/>
              </w:rPr>
              <w:t>2</w:t>
            </w:r>
          </w:p>
        </w:tc>
        <w:tc>
          <w:tcPr>
            <w:tcW w:w="1566" w:type="dxa"/>
            <w:noWrap w:val="0"/>
            <w:vAlign w:val="center"/>
          </w:tcPr>
          <w:p>
            <w:pPr>
              <w:widowControl/>
              <w:spacing w:line="360" w:lineRule="auto"/>
              <w:jc w:val="center"/>
              <w:rPr>
                <w:rFonts w:hint="eastAsia" w:ascii="宋体" w:hAnsi="宋体" w:cs="Tahoma"/>
                <w:b/>
                <w:color w:val="auto"/>
                <w:kern w:val="0"/>
                <w:szCs w:val="21"/>
                <w:highlight w:val="none"/>
              </w:rPr>
            </w:pPr>
            <w:r>
              <w:rPr>
                <w:rFonts w:hint="eastAsia" w:ascii="宋体" w:hAnsi="宋体"/>
                <w:b/>
                <w:color w:val="auto"/>
                <w:kern w:val="0"/>
                <w:szCs w:val="21"/>
                <w:highlight w:val="none"/>
              </w:rPr>
              <w:t>技术分</w:t>
            </w:r>
          </w:p>
        </w:tc>
        <w:tc>
          <w:tcPr>
            <w:tcW w:w="6146" w:type="dxa"/>
            <w:noWrap w:val="0"/>
            <w:vAlign w:val="top"/>
          </w:tcPr>
          <w:p>
            <w:pPr>
              <w:widowControl/>
              <w:spacing w:line="360" w:lineRule="auto"/>
              <w:jc w:val="center"/>
              <w:rPr>
                <w:rFonts w:hint="eastAsia" w:ascii="宋体" w:hAnsi="宋体" w:cs="Tahoma"/>
                <w:b/>
                <w:color w:val="auto"/>
                <w:kern w:val="0"/>
                <w:szCs w:val="21"/>
                <w:highlight w:val="none"/>
              </w:rPr>
            </w:pPr>
            <w:r>
              <w:rPr>
                <w:rFonts w:hint="eastAsia" w:ascii="宋体" w:hAnsi="宋体" w:cs="Tahoma"/>
                <w:b/>
                <w:color w:val="auto"/>
                <w:kern w:val="0"/>
                <w:szCs w:val="21"/>
                <w:highlight w:val="none"/>
              </w:rPr>
              <w:t>评审因素</w:t>
            </w:r>
          </w:p>
        </w:tc>
        <w:tc>
          <w:tcPr>
            <w:tcW w:w="1184" w:type="dxa"/>
            <w:noWrap w:val="0"/>
            <w:vAlign w:val="top"/>
          </w:tcPr>
          <w:p>
            <w:pPr>
              <w:widowControl/>
              <w:spacing w:line="360" w:lineRule="auto"/>
              <w:jc w:val="center"/>
              <w:rPr>
                <w:rFonts w:hint="eastAsia" w:ascii="宋体" w:hAnsi="宋体" w:cs="Tahoma"/>
                <w:b/>
                <w:color w:val="auto"/>
                <w:kern w:val="0"/>
                <w:szCs w:val="21"/>
                <w:highlight w:val="none"/>
              </w:rPr>
            </w:pPr>
            <w:r>
              <w:rPr>
                <w:rFonts w:hint="eastAsia" w:ascii="宋体" w:hAnsi="宋体" w:cs="Tahoma"/>
                <w:b/>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5" w:type="dxa"/>
            <w:noWrap w:val="0"/>
            <w:vAlign w:val="center"/>
          </w:tcPr>
          <w:p>
            <w:pPr>
              <w:pStyle w:val="20"/>
              <w:spacing w:line="360" w:lineRule="auto"/>
              <w:jc w:val="center"/>
              <w:rPr>
                <w:color w:val="auto"/>
                <w:sz w:val="21"/>
                <w:highlight w:val="none"/>
              </w:rPr>
            </w:pPr>
            <w:r>
              <w:rPr>
                <w:rFonts w:hint="eastAsia"/>
                <w:color w:val="auto"/>
                <w:sz w:val="21"/>
                <w:highlight w:val="none"/>
              </w:rPr>
              <w:t>2.1</w:t>
            </w:r>
          </w:p>
        </w:tc>
        <w:tc>
          <w:tcPr>
            <w:tcW w:w="1566" w:type="dxa"/>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highlight w:val="none"/>
              </w:rPr>
              <w:t>工作总体思路以及保障措施方案</w:t>
            </w:r>
            <w:r>
              <w:rPr>
                <w:rFonts w:hint="eastAsia" w:ascii="宋体" w:hAnsi="宋体" w:cs="宋体"/>
                <w:b/>
                <w:bCs/>
                <w:color w:val="auto"/>
                <w:szCs w:val="21"/>
                <w:highlight w:val="none"/>
              </w:rPr>
              <w:t>分</w:t>
            </w:r>
          </w:p>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（满分25分）</w:t>
            </w:r>
          </w:p>
        </w:tc>
        <w:tc>
          <w:tcPr>
            <w:tcW w:w="6146" w:type="dxa"/>
            <w:noWrap w:val="0"/>
            <w:vAlign w:val="center"/>
          </w:tcPr>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由磋商小组根据供应商的工作总体思路以及保障措施内容的详实性、科学性、可行性，以及是否符合本项目实际等方面情况独立评审打分。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一档（6分）：工作总体思路以及保障措施提供工作总体思路，无具体的工作计划，保障的措施没有围绕项目特点考虑。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二档（12分）：工作总体思路以及保障措施提供工作总体思路，有对本项目的理解，有工作计划，保障的措施围绕项目特点阐述，有针对性。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三挡（18分）：工作总体思路以及保障措施提供工作总体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思路，有对本项目的理解和背景的解读，有具体的工作计划，保障的措施围绕项目特点阐述，措施内容详细，有针对性。 </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四档（25分）：工作总体思路以及保障措施提供工作总体思路，有对本项目的理解和背景的解读，有具体的工作计划，对服务方法进行创新以及提高服务质量的有效措施，且对林业案件法律</w:t>
            </w:r>
            <w:r>
              <w:rPr>
                <w:rFonts w:hint="eastAsia" w:ascii="宋体" w:hAnsi="宋体" w:cs="宋体"/>
                <w:color w:val="auto"/>
                <w:highlight w:val="none"/>
                <w:lang w:eastAsia="zh-CN"/>
              </w:rPr>
              <w:t>服务</w:t>
            </w:r>
            <w:r>
              <w:rPr>
                <w:rFonts w:hint="eastAsia" w:ascii="宋体" w:hAnsi="宋体" w:cs="宋体"/>
                <w:color w:val="auto"/>
                <w:highlight w:val="none"/>
              </w:rPr>
              <w:t>工作内容、服务要求明确，服务期内开展法律</w:t>
            </w:r>
            <w:r>
              <w:rPr>
                <w:rFonts w:hint="eastAsia" w:ascii="宋体" w:hAnsi="宋体" w:cs="宋体"/>
                <w:color w:val="auto"/>
                <w:highlight w:val="none"/>
                <w:lang w:eastAsia="zh-CN"/>
              </w:rPr>
              <w:t>服务</w:t>
            </w:r>
            <w:r>
              <w:rPr>
                <w:rFonts w:hint="eastAsia" w:ascii="宋体" w:hAnsi="宋体" w:cs="宋体"/>
                <w:color w:val="auto"/>
                <w:highlight w:val="none"/>
              </w:rPr>
              <w:t>工作思路清晰、准确、完整，计划编制可行，保证措施针对性强。</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未提供或提供的方案未达最低档的得0分。</w:t>
            </w:r>
          </w:p>
        </w:tc>
        <w:tc>
          <w:tcPr>
            <w:tcW w:w="1184" w:type="dxa"/>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满分25分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5" w:type="dxa"/>
            <w:noWrap w:val="0"/>
            <w:vAlign w:val="center"/>
          </w:tcPr>
          <w:p>
            <w:pPr>
              <w:pStyle w:val="20"/>
              <w:spacing w:line="360" w:lineRule="auto"/>
              <w:jc w:val="center"/>
              <w:rPr>
                <w:color w:val="auto"/>
                <w:sz w:val="21"/>
                <w:highlight w:val="none"/>
              </w:rPr>
            </w:pPr>
            <w:r>
              <w:rPr>
                <w:rFonts w:hint="eastAsia"/>
                <w:color w:val="auto"/>
                <w:sz w:val="21"/>
                <w:highlight w:val="none"/>
              </w:rPr>
              <w:t>2.2</w:t>
            </w:r>
          </w:p>
        </w:tc>
        <w:tc>
          <w:tcPr>
            <w:tcW w:w="1566" w:type="dxa"/>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法律服务流程方案（满分 20 分）</w:t>
            </w:r>
          </w:p>
          <w:p>
            <w:pPr>
              <w:spacing w:line="360" w:lineRule="auto"/>
              <w:jc w:val="center"/>
              <w:rPr>
                <w:rFonts w:hint="eastAsia" w:ascii="宋体" w:hAnsi="宋体" w:cs="宋体"/>
                <w:b/>
                <w:bCs/>
                <w:color w:val="auto"/>
                <w:szCs w:val="21"/>
                <w:highlight w:val="none"/>
              </w:rPr>
            </w:pPr>
          </w:p>
        </w:tc>
        <w:tc>
          <w:tcPr>
            <w:tcW w:w="6146" w:type="dxa"/>
            <w:noWrap w:val="0"/>
            <w:vAlign w:val="center"/>
          </w:tcPr>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由磋商小组根据供应商所提供的服务流程方案的详实性、科学性、可行性，以及是否符合本项目实际等方面情况独立评审打分。</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一档（5 分）：服务流程方案简单，未体现服务方式内容。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二档（10 分）：服务流程方案提供法律服务方式内容，服务信息反馈的路径，基本项符合目特点。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三档（15 分）：服务流程方案提供法律服务方式内容，服务信息反馈的路径、时效，提供服务成果归档标准及时效，符合项目特点。</w:t>
            </w:r>
          </w:p>
          <w:p>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四挡（20 分）：服务流程方案提供法律服务方式、服务要求、服务信息反馈的类型、路径、时效，提供服务成果归档标准及时效，有针对性，符合项目特点。</w:t>
            </w:r>
          </w:p>
          <w:p>
            <w:pPr>
              <w:pStyle w:val="2"/>
              <w:ind w:firstLine="420" w:firstLineChars="200"/>
              <w:rPr>
                <w:color w:val="auto"/>
                <w:highlight w:val="none"/>
              </w:rPr>
            </w:pPr>
            <w:r>
              <w:rPr>
                <w:rFonts w:hint="eastAsia" w:ascii="宋体" w:hAnsi="宋体" w:cs="宋体"/>
                <w:color w:val="auto"/>
                <w:highlight w:val="none"/>
              </w:rPr>
              <w:t>未提供或提供的方案未达最低档的得0分。</w:t>
            </w:r>
          </w:p>
        </w:tc>
        <w:tc>
          <w:tcPr>
            <w:tcW w:w="1184" w:type="dxa"/>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满分20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5" w:type="dxa"/>
            <w:noWrap w:val="0"/>
            <w:vAlign w:val="center"/>
          </w:tcPr>
          <w:p>
            <w:pPr>
              <w:pStyle w:val="20"/>
              <w:spacing w:line="360" w:lineRule="auto"/>
              <w:jc w:val="center"/>
              <w:rPr>
                <w:color w:val="auto"/>
                <w:sz w:val="21"/>
                <w:highlight w:val="none"/>
              </w:rPr>
            </w:pPr>
            <w:r>
              <w:rPr>
                <w:rFonts w:hint="eastAsia"/>
                <w:color w:val="auto"/>
                <w:sz w:val="21"/>
                <w:highlight w:val="none"/>
              </w:rPr>
              <w:t>2.3</w:t>
            </w:r>
          </w:p>
        </w:tc>
        <w:tc>
          <w:tcPr>
            <w:tcW w:w="1566" w:type="dxa"/>
            <w:noWrap w:val="0"/>
            <w:vAlign w:val="center"/>
          </w:tcPr>
          <w:p>
            <w:pPr>
              <w:pStyle w:val="20"/>
              <w:spacing w:line="360" w:lineRule="auto"/>
              <w:rPr>
                <w:rFonts w:hint="eastAsia" w:hAnsi="宋体" w:cs="宋体"/>
                <w:b/>
                <w:bCs/>
                <w:color w:val="auto"/>
                <w:highlight w:val="none"/>
              </w:rPr>
            </w:pPr>
            <w:r>
              <w:rPr>
                <w:rFonts w:hint="eastAsia"/>
                <w:b/>
                <w:color w:val="auto"/>
                <w:sz w:val="21"/>
                <w:highlight w:val="none"/>
              </w:rPr>
              <w:t>服务承诺</w:t>
            </w:r>
            <w:r>
              <w:rPr>
                <w:b/>
                <w:color w:val="auto"/>
                <w:sz w:val="21"/>
                <w:highlight w:val="none"/>
              </w:rPr>
              <w:t>分</w:t>
            </w:r>
            <w:r>
              <w:rPr>
                <w:rFonts w:hint="eastAsia" w:hAnsi="宋体" w:cs="宋体"/>
                <w:b/>
                <w:bCs/>
                <w:color w:val="auto"/>
                <w:sz w:val="21"/>
                <w:highlight w:val="none"/>
              </w:rPr>
              <w:t>（满分15分）</w:t>
            </w:r>
          </w:p>
        </w:tc>
        <w:tc>
          <w:tcPr>
            <w:tcW w:w="6146" w:type="dxa"/>
            <w:noWrap w:val="0"/>
            <w:vAlign w:val="center"/>
          </w:tcPr>
          <w:p>
            <w:pPr>
              <w:pStyle w:val="20"/>
              <w:spacing w:line="360" w:lineRule="auto"/>
              <w:ind w:firstLine="411" w:firstLineChars="196"/>
              <w:rPr>
                <w:color w:val="auto"/>
                <w:sz w:val="21"/>
                <w:highlight w:val="none"/>
              </w:rPr>
            </w:pPr>
            <w:r>
              <w:rPr>
                <w:rFonts w:hint="eastAsia"/>
                <w:color w:val="auto"/>
                <w:sz w:val="21"/>
                <w:highlight w:val="none"/>
              </w:rPr>
              <w:t>由磋商小组根据供应商所提供的</w:t>
            </w:r>
            <w:r>
              <w:rPr>
                <w:color w:val="auto"/>
                <w:sz w:val="21"/>
                <w:highlight w:val="none"/>
              </w:rPr>
              <w:t>服务承诺书内容的完整性、可行性、配合采购人通过验收等方面情况独立评审</w:t>
            </w:r>
            <w:r>
              <w:rPr>
                <w:rFonts w:hint="eastAsia"/>
                <w:color w:val="auto"/>
                <w:sz w:val="21"/>
                <w:highlight w:val="none"/>
              </w:rPr>
              <w:t>打分</w:t>
            </w:r>
            <w:r>
              <w:rPr>
                <w:color w:val="auto"/>
                <w:sz w:val="21"/>
                <w:highlight w:val="none"/>
              </w:rPr>
              <w:t>。</w:t>
            </w:r>
          </w:p>
          <w:p>
            <w:pPr>
              <w:pStyle w:val="20"/>
              <w:spacing w:line="360" w:lineRule="auto"/>
              <w:ind w:firstLine="535" w:firstLineChars="255"/>
              <w:rPr>
                <w:color w:val="auto"/>
                <w:sz w:val="21"/>
                <w:highlight w:val="none"/>
              </w:rPr>
            </w:pPr>
            <w:r>
              <w:rPr>
                <w:color w:val="auto"/>
                <w:sz w:val="21"/>
                <w:highlight w:val="none"/>
              </w:rPr>
              <w:t>一档（</w:t>
            </w:r>
            <w:r>
              <w:rPr>
                <w:rFonts w:hint="eastAsia"/>
                <w:color w:val="auto"/>
                <w:sz w:val="21"/>
                <w:highlight w:val="none"/>
              </w:rPr>
              <w:t>5</w:t>
            </w:r>
            <w:r>
              <w:rPr>
                <w:color w:val="auto"/>
                <w:sz w:val="21"/>
                <w:highlight w:val="none"/>
              </w:rPr>
              <w:t>分）：</w:t>
            </w:r>
            <w:r>
              <w:rPr>
                <w:rFonts w:hint="eastAsia"/>
                <w:color w:val="auto"/>
                <w:sz w:val="21"/>
                <w:highlight w:val="none"/>
              </w:rPr>
              <w:t>服务承诺不完整，可行性不强，承诺对出现的问题响应不够及时，承诺在服务期限内接到采购人通知后2小时</w:t>
            </w:r>
            <w:r>
              <w:rPr>
                <w:rFonts w:hint="eastAsia"/>
                <w:color w:val="auto"/>
                <w:sz w:val="21"/>
                <w:highlight w:val="none"/>
                <w:lang w:eastAsia="zh-CN"/>
              </w:rPr>
              <w:t>内作出</w:t>
            </w:r>
            <w:r>
              <w:rPr>
                <w:rFonts w:hint="eastAsia"/>
                <w:color w:val="auto"/>
                <w:sz w:val="21"/>
                <w:highlight w:val="none"/>
              </w:rPr>
              <w:t>响应</w:t>
            </w:r>
            <w:r>
              <w:rPr>
                <w:rFonts w:hAnsi="宋体"/>
                <w:color w:val="auto"/>
                <w:sz w:val="21"/>
                <w:highlight w:val="none"/>
              </w:rPr>
              <w:t>。</w:t>
            </w:r>
          </w:p>
          <w:p>
            <w:pPr>
              <w:pStyle w:val="20"/>
              <w:spacing w:line="360" w:lineRule="auto"/>
              <w:ind w:firstLine="535" w:firstLineChars="255"/>
              <w:rPr>
                <w:color w:val="auto"/>
                <w:sz w:val="21"/>
                <w:highlight w:val="none"/>
              </w:rPr>
            </w:pPr>
            <w:r>
              <w:rPr>
                <w:color w:val="auto"/>
                <w:sz w:val="21"/>
                <w:highlight w:val="none"/>
              </w:rPr>
              <w:t>二档（</w:t>
            </w:r>
            <w:r>
              <w:rPr>
                <w:rFonts w:hint="eastAsia"/>
                <w:color w:val="auto"/>
                <w:sz w:val="21"/>
                <w:highlight w:val="none"/>
              </w:rPr>
              <w:t>10</w:t>
            </w:r>
            <w:r>
              <w:rPr>
                <w:color w:val="auto"/>
                <w:sz w:val="21"/>
                <w:highlight w:val="none"/>
              </w:rPr>
              <w:t>分）：</w:t>
            </w:r>
            <w:r>
              <w:rPr>
                <w:rFonts w:hint="eastAsia"/>
                <w:color w:val="auto"/>
                <w:sz w:val="21"/>
                <w:highlight w:val="none"/>
              </w:rPr>
              <w:t>服务承诺完整，内容简单不够全面，可行性强，承诺对出现的问题响应及时，配备有专职人员，承诺在服务期限内接到采购人通知后30分钟</w:t>
            </w:r>
            <w:r>
              <w:rPr>
                <w:rFonts w:hint="eastAsia"/>
                <w:color w:val="auto"/>
                <w:sz w:val="21"/>
                <w:highlight w:val="none"/>
                <w:lang w:eastAsia="zh-CN"/>
              </w:rPr>
              <w:t>内作出</w:t>
            </w:r>
            <w:r>
              <w:rPr>
                <w:rFonts w:hint="eastAsia"/>
                <w:color w:val="auto"/>
                <w:sz w:val="21"/>
                <w:highlight w:val="none"/>
              </w:rPr>
              <w:t>响应，1.5小时内到达采购人指定现场；12小时内提出解决方案，2个工作日内完成问题处理</w:t>
            </w:r>
            <w:r>
              <w:rPr>
                <w:rFonts w:hAnsi="宋体"/>
                <w:color w:val="auto"/>
                <w:sz w:val="21"/>
                <w:highlight w:val="none"/>
              </w:rPr>
              <w:t>。</w:t>
            </w:r>
          </w:p>
          <w:p>
            <w:pPr>
              <w:pStyle w:val="20"/>
              <w:spacing w:line="360" w:lineRule="auto"/>
              <w:ind w:firstLine="535" w:firstLineChars="255"/>
              <w:rPr>
                <w:color w:val="auto"/>
                <w:sz w:val="21"/>
                <w:highlight w:val="none"/>
              </w:rPr>
            </w:pPr>
            <w:r>
              <w:rPr>
                <w:color w:val="auto"/>
                <w:sz w:val="21"/>
                <w:highlight w:val="none"/>
              </w:rPr>
              <w:t>三档（</w:t>
            </w:r>
            <w:r>
              <w:rPr>
                <w:rFonts w:hint="eastAsia"/>
                <w:color w:val="auto"/>
                <w:sz w:val="21"/>
                <w:highlight w:val="none"/>
              </w:rPr>
              <w:t>15</w:t>
            </w:r>
            <w:r>
              <w:rPr>
                <w:color w:val="auto"/>
                <w:sz w:val="21"/>
                <w:highlight w:val="none"/>
              </w:rPr>
              <w:t>分）：</w:t>
            </w:r>
            <w:r>
              <w:rPr>
                <w:rFonts w:hint="eastAsia"/>
                <w:color w:val="auto"/>
                <w:sz w:val="21"/>
                <w:highlight w:val="none"/>
              </w:rPr>
              <w:t>服务承诺完整，内容详细合理，可操作性强，承诺对出现的问题响应及时、主动，配备有专职人员，承诺在服务期限内接到采购人通知后15分钟</w:t>
            </w:r>
            <w:r>
              <w:rPr>
                <w:rFonts w:hint="eastAsia"/>
                <w:color w:val="auto"/>
                <w:sz w:val="21"/>
                <w:highlight w:val="none"/>
                <w:lang w:eastAsia="zh-CN"/>
              </w:rPr>
              <w:t>内作出</w:t>
            </w:r>
            <w:r>
              <w:rPr>
                <w:rFonts w:hint="eastAsia"/>
                <w:color w:val="auto"/>
                <w:sz w:val="21"/>
                <w:highlight w:val="none"/>
              </w:rPr>
              <w:t>响应，并承诺接到采购人处理问题通知后1小时内到达采购人指定现场，10小时内提出解决方案，1个工作日内完成问题处理</w:t>
            </w:r>
            <w:r>
              <w:rPr>
                <w:rFonts w:hAnsi="宋体"/>
                <w:color w:val="auto"/>
                <w:sz w:val="21"/>
                <w:highlight w:val="none"/>
              </w:rPr>
              <w:t>。</w:t>
            </w:r>
          </w:p>
          <w:p>
            <w:pPr>
              <w:widowControl/>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未提供种</w:t>
            </w:r>
            <w:r>
              <w:rPr>
                <w:rFonts w:hint="eastAsia"/>
                <w:color w:val="auto"/>
                <w:szCs w:val="21"/>
                <w:highlight w:val="none"/>
              </w:rPr>
              <w:t>服务承诺</w:t>
            </w:r>
            <w:r>
              <w:rPr>
                <w:rFonts w:hint="eastAsia" w:ascii="宋体" w:hAnsi="宋体" w:cs="宋体"/>
                <w:color w:val="auto"/>
                <w:szCs w:val="21"/>
                <w:highlight w:val="none"/>
              </w:rPr>
              <w:t>或</w:t>
            </w:r>
            <w:r>
              <w:rPr>
                <w:rFonts w:hint="eastAsia"/>
                <w:color w:val="auto"/>
                <w:szCs w:val="21"/>
                <w:highlight w:val="none"/>
              </w:rPr>
              <w:t>服务承诺</w:t>
            </w:r>
            <w:r>
              <w:rPr>
                <w:rFonts w:hint="eastAsia" w:ascii="宋体" w:hAnsi="宋体" w:cs="宋体"/>
                <w:color w:val="auto"/>
                <w:szCs w:val="21"/>
                <w:highlight w:val="none"/>
              </w:rPr>
              <w:t>未达最低档的得0分。</w:t>
            </w:r>
          </w:p>
        </w:tc>
        <w:tc>
          <w:tcPr>
            <w:tcW w:w="1184" w:type="dxa"/>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05" w:type="dxa"/>
            <w:noWrap w:val="0"/>
            <w:vAlign w:val="center"/>
          </w:tcPr>
          <w:p>
            <w:pPr>
              <w:pStyle w:val="20"/>
              <w:spacing w:line="360" w:lineRule="auto"/>
              <w:jc w:val="center"/>
              <w:rPr>
                <w:rFonts w:hint="eastAsia"/>
                <w:b/>
                <w:bCs/>
                <w:color w:val="auto"/>
                <w:sz w:val="21"/>
                <w:highlight w:val="none"/>
              </w:rPr>
            </w:pPr>
            <w:r>
              <w:rPr>
                <w:rFonts w:hint="eastAsia"/>
                <w:b/>
                <w:bCs/>
                <w:color w:val="auto"/>
                <w:sz w:val="21"/>
                <w:highlight w:val="none"/>
              </w:rPr>
              <w:t>3</w:t>
            </w:r>
          </w:p>
        </w:tc>
        <w:tc>
          <w:tcPr>
            <w:tcW w:w="1566" w:type="dxa"/>
            <w:noWrap w:val="0"/>
            <w:vAlign w:val="center"/>
          </w:tcPr>
          <w:p>
            <w:pPr>
              <w:pStyle w:val="20"/>
              <w:spacing w:line="360" w:lineRule="auto"/>
              <w:ind w:firstLine="421" w:firstLineChars="200"/>
              <w:rPr>
                <w:rFonts w:hint="eastAsia"/>
                <w:b/>
                <w:bCs/>
                <w:color w:val="auto"/>
                <w:sz w:val="21"/>
                <w:highlight w:val="none"/>
              </w:rPr>
            </w:pPr>
            <w:r>
              <w:rPr>
                <w:rFonts w:hint="eastAsia"/>
                <w:b/>
                <w:bCs/>
                <w:color w:val="auto"/>
                <w:sz w:val="21"/>
                <w:highlight w:val="none"/>
              </w:rPr>
              <w:t>商务分</w:t>
            </w:r>
          </w:p>
        </w:tc>
        <w:tc>
          <w:tcPr>
            <w:tcW w:w="6146" w:type="dxa"/>
            <w:noWrap w:val="0"/>
            <w:vAlign w:val="center"/>
          </w:tcPr>
          <w:p>
            <w:pPr>
              <w:pStyle w:val="20"/>
              <w:spacing w:line="360" w:lineRule="auto"/>
              <w:jc w:val="center"/>
              <w:rPr>
                <w:rFonts w:hint="eastAsia"/>
                <w:b/>
                <w:bCs/>
                <w:color w:val="auto"/>
                <w:sz w:val="21"/>
                <w:highlight w:val="none"/>
              </w:rPr>
            </w:pPr>
            <w:r>
              <w:rPr>
                <w:rFonts w:hint="eastAsia"/>
                <w:b/>
                <w:bCs/>
                <w:color w:val="auto"/>
                <w:sz w:val="21"/>
                <w:highlight w:val="none"/>
              </w:rPr>
              <w:t>评审因素</w:t>
            </w:r>
          </w:p>
        </w:tc>
        <w:tc>
          <w:tcPr>
            <w:tcW w:w="1184" w:type="dxa"/>
            <w:noWrap w:val="0"/>
            <w:vAlign w:val="center"/>
          </w:tcPr>
          <w:p>
            <w:pPr>
              <w:widowControl/>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05" w:type="dxa"/>
            <w:noWrap w:val="0"/>
            <w:vAlign w:val="center"/>
          </w:tcPr>
          <w:p>
            <w:pPr>
              <w:pStyle w:val="20"/>
              <w:spacing w:line="360" w:lineRule="auto"/>
              <w:jc w:val="center"/>
              <w:rPr>
                <w:b/>
                <w:bCs/>
                <w:color w:val="auto"/>
                <w:sz w:val="21"/>
                <w:highlight w:val="none"/>
              </w:rPr>
            </w:pPr>
            <w:r>
              <w:rPr>
                <w:rFonts w:hint="eastAsia"/>
                <w:color w:val="auto"/>
                <w:sz w:val="21"/>
                <w:highlight w:val="none"/>
              </w:rPr>
              <w:t>3.1</w:t>
            </w:r>
          </w:p>
        </w:tc>
        <w:tc>
          <w:tcPr>
            <w:tcW w:w="1566" w:type="dxa"/>
            <w:noWrap w:val="0"/>
            <w:vAlign w:val="center"/>
          </w:tcPr>
          <w:p>
            <w:pPr>
              <w:pStyle w:val="20"/>
              <w:spacing w:line="360" w:lineRule="auto"/>
              <w:rPr>
                <w:rFonts w:hint="eastAsia"/>
                <w:b/>
                <w:bCs/>
                <w:color w:val="auto"/>
                <w:sz w:val="21"/>
                <w:highlight w:val="none"/>
              </w:rPr>
            </w:pPr>
            <w:r>
              <w:rPr>
                <w:rFonts w:hint="eastAsia"/>
                <w:color w:val="auto"/>
                <w:sz w:val="21"/>
                <w:highlight w:val="none"/>
              </w:rPr>
              <w:t>人员配置方案（满分</w:t>
            </w:r>
            <w:r>
              <w:rPr>
                <w:color w:val="auto"/>
                <w:sz w:val="21"/>
                <w:highlight w:val="none"/>
              </w:rPr>
              <w:t>20</w:t>
            </w:r>
            <w:r>
              <w:rPr>
                <w:rFonts w:hint="eastAsia"/>
                <w:color w:val="auto"/>
                <w:sz w:val="21"/>
                <w:highlight w:val="none"/>
              </w:rPr>
              <w:t xml:space="preserve">分） </w:t>
            </w:r>
          </w:p>
        </w:tc>
        <w:tc>
          <w:tcPr>
            <w:tcW w:w="6146" w:type="dxa"/>
            <w:noWrap w:val="0"/>
            <w:vAlign w:val="center"/>
          </w:tcPr>
          <w:p>
            <w:pPr>
              <w:pStyle w:val="20"/>
              <w:spacing w:line="360" w:lineRule="auto"/>
              <w:ind w:firstLine="411" w:firstLineChars="196"/>
              <w:rPr>
                <w:color w:val="auto"/>
                <w:sz w:val="21"/>
                <w:highlight w:val="none"/>
              </w:rPr>
            </w:pPr>
            <w:r>
              <w:rPr>
                <w:rFonts w:hint="eastAsia"/>
                <w:color w:val="auto"/>
                <w:sz w:val="21"/>
                <w:highlight w:val="none"/>
              </w:rPr>
              <w:t xml:space="preserve">由磋商小组根据供应商所提供的人员配置方案（包括配 置情况、管理体系、岗位责任、工作内容等）的详实性、科学性、 可行性，以及是否符合本项目实际等方面情况独立评审打分。 </w:t>
            </w:r>
          </w:p>
          <w:p>
            <w:pPr>
              <w:pStyle w:val="20"/>
              <w:spacing w:line="360" w:lineRule="auto"/>
              <w:ind w:firstLine="411" w:firstLineChars="196"/>
              <w:rPr>
                <w:color w:val="auto"/>
                <w:sz w:val="21"/>
                <w:highlight w:val="none"/>
              </w:rPr>
            </w:pPr>
            <w:r>
              <w:rPr>
                <w:rFonts w:hint="eastAsia"/>
                <w:color w:val="auto"/>
                <w:sz w:val="21"/>
                <w:highlight w:val="none"/>
              </w:rPr>
              <w:t>一档（</w:t>
            </w:r>
            <w:r>
              <w:rPr>
                <w:color w:val="auto"/>
                <w:sz w:val="21"/>
                <w:highlight w:val="none"/>
              </w:rPr>
              <w:t xml:space="preserve">5 </w:t>
            </w:r>
            <w:r>
              <w:rPr>
                <w:rFonts w:hint="eastAsia"/>
                <w:color w:val="auto"/>
                <w:sz w:val="21"/>
                <w:highlight w:val="none"/>
              </w:rPr>
              <w:t xml:space="preserve">分）：供应商提供了简单的人员配置方案；对岗位、工作内容无描述； </w:t>
            </w:r>
          </w:p>
          <w:p>
            <w:pPr>
              <w:pStyle w:val="20"/>
              <w:spacing w:line="360" w:lineRule="auto"/>
              <w:ind w:firstLine="411" w:firstLineChars="196"/>
              <w:rPr>
                <w:color w:val="auto"/>
                <w:sz w:val="21"/>
                <w:highlight w:val="none"/>
              </w:rPr>
            </w:pPr>
            <w:r>
              <w:rPr>
                <w:rFonts w:hint="eastAsia"/>
                <w:color w:val="auto"/>
                <w:sz w:val="21"/>
                <w:highlight w:val="none"/>
              </w:rPr>
              <w:t>二档（</w:t>
            </w:r>
            <w:r>
              <w:rPr>
                <w:color w:val="auto"/>
                <w:sz w:val="21"/>
                <w:highlight w:val="none"/>
              </w:rPr>
              <w:t xml:space="preserve">10 </w:t>
            </w:r>
            <w:r>
              <w:rPr>
                <w:rFonts w:hint="eastAsia"/>
                <w:color w:val="auto"/>
                <w:sz w:val="21"/>
                <w:highlight w:val="none"/>
              </w:rPr>
              <w:t xml:space="preserve">分）：供应商提供的人员配置方案满足项目基础需求，对岗位责任、工作内容有一定的描述； </w:t>
            </w:r>
          </w:p>
          <w:p>
            <w:pPr>
              <w:pStyle w:val="20"/>
              <w:spacing w:line="360" w:lineRule="auto"/>
              <w:ind w:firstLine="411" w:firstLineChars="196"/>
              <w:rPr>
                <w:color w:val="auto"/>
                <w:sz w:val="21"/>
                <w:highlight w:val="none"/>
              </w:rPr>
            </w:pPr>
            <w:r>
              <w:rPr>
                <w:rFonts w:hint="eastAsia"/>
                <w:color w:val="auto"/>
                <w:sz w:val="21"/>
                <w:highlight w:val="none"/>
              </w:rPr>
              <w:t>三档（</w:t>
            </w:r>
            <w:r>
              <w:rPr>
                <w:color w:val="auto"/>
                <w:sz w:val="21"/>
                <w:highlight w:val="none"/>
              </w:rPr>
              <w:t xml:space="preserve">15 </w:t>
            </w:r>
            <w:r>
              <w:rPr>
                <w:rFonts w:hint="eastAsia"/>
                <w:color w:val="auto"/>
                <w:sz w:val="21"/>
                <w:highlight w:val="none"/>
              </w:rPr>
              <w:t xml:space="preserve">分）：供应商提供的人员配置方案满足项目需求，对岗位责任、工作内容、管理体系有具体的描述； </w:t>
            </w:r>
          </w:p>
          <w:p>
            <w:pPr>
              <w:pStyle w:val="20"/>
              <w:spacing w:line="360" w:lineRule="auto"/>
              <w:ind w:firstLine="411" w:firstLineChars="196"/>
              <w:rPr>
                <w:color w:val="auto"/>
                <w:sz w:val="21"/>
                <w:highlight w:val="none"/>
              </w:rPr>
            </w:pPr>
            <w:r>
              <w:rPr>
                <w:rFonts w:hint="eastAsia"/>
                <w:color w:val="auto"/>
                <w:sz w:val="21"/>
                <w:highlight w:val="none"/>
              </w:rPr>
              <w:t>四挡（</w:t>
            </w:r>
            <w:r>
              <w:rPr>
                <w:color w:val="auto"/>
                <w:sz w:val="21"/>
                <w:highlight w:val="none"/>
              </w:rPr>
              <w:t xml:space="preserve">20 </w:t>
            </w:r>
            <w:r>
              <w:rPr>
                <w:rFonts w:hint="eastAsia"/>
                <w:color w:val="auto"/>
                <w:sz w:val="21"/>
                <w:highlight w:val="none"/>
              </w:rPr>
              <w:t>分）：供应商提供了完善的人员配置方案，人员岗位清晰，工作内容明确，工作计划合理，并设置专人对接及有可行的应急服务预案。</w:t>
            </w:r>
          </w:p>
          <w:p>
            <w:pPr>
              <w:widowControl/>
              <w:spacing w:line="360" w:lineRule="auto"/>
              <w:ind w:firstLine="420" w:firstLineChars="200"/>
              <w:jc w:val="left"/>
              <w:rPr>
                <w:rFonts w:hint="eastAsia"/>
                <w:b/>
                <w:bCs/>
                <w:color w:val="auto"/>
                <w:szCs w:val="21"/>
                <w:highlight w:val="none"/>
              </w:rPr>
            </w:pPr>
            <w:r>
              <w:rPr>
                <w:rFonts w:hint="eastAsia" w:ascii="宋体" w:hAnsi="Courier New"/>
                <w:color w:val="auto"/>
                <w:highlight w:val="none"/>
              </w:rPr>
              <w:t>未提供或提供的方案未达最低档的得0分。</w:t>
            </w:r>
          </w:p>
        </w:tc>
        <w:tc>
          <w:tcPr>
            <w:tcW w:w="1184" w:type="dxa"/>
            <w:noWrap w:val="0"/>
            <w:vAlign w:val="center"/>
          </w:tcPr>
          <w:p>
            <w:pPr>
              <w:widowControl/>
              <w:spacing w:line="360" w:lineRule="auto"/>
              <w:jc w:val="center"/>
              <w:rPr>
                <w:rFonts w:hint="eastAsia" w:ascii="宋体" w:hAnsi="宋体" w:cs="Tahoma"/>
                <w:b/>
                <w:bCs/>
                <w:color w:val="auto"/>
                <w:kern w:val="0"/>
                <w:szCs w:val="21"/>
                <w:highlight w:val="none"/>
              </w:rPr>
            </w:pPr>
            <w:r>
              <w:rPr>
                <w:rFonts w:hint="eastAsia" w:ascii="宋体" w:hAnsi="宋体" w:cs="宋体"/>
                <w:b/>
                <w:bCs/>
                <w:color w:val="auto"/>
                <w:szCs w:val="21"/>
                <w:highlight w:val="none"/>
              </w:rPr>
              <w:t>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805" w:type="dxa"/>
            <w:noWrap w:val="0"/>
            <w:vAlign w:val="center"/>
          </w:tcPr>
          <w:p>
            <w:pPr>
              <w:pStyle w:val="20"/>
              <w:spacing w:line="360" w:lineRule="auto"/>
              <w:jc w:val="center"/>
              <w:rPr>
                <w:rFonts w:hint="eastAsia"/>
                <w:color w:val="auto"/>
                <w:sz w:val="21"/>
                <w:highlight w:val="none"/>
              </w:rPr>
            </w:pPr>
            <w:r>
              <w:rPr>
                <w:rFonts w:hint="eastAsia"/>
                <w:color w:val="auto"/>
                <w:sz w:val="21"/>
                <w:highlight w:val="none"/>
              </w:rPr>
              <w:t>3.2</w:t>
            </w:r>
          </w:p>
        </w:tc>
        <w:tc>
          <w:tcPr>
            <w:tcW w:w="1566" w:type="dxa"/>
            <w:noWrap w:val="0"/>
            <w:vAlign w:val="center"/>
          </w:tcPr>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业绩分</w:t>
            </w:r>
          </w:p>
          <w:p>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（满分10分）</w:t>
            </w:r>
          </w:p>
        </w:tc>
        <w:tc>
          <w:tcPr>
            <w:tcW w:w="6146" w:type="dxa"/>
            <w:noWrap w:val="0"/>
            <w:vAlign w:val="top"/>
          </w:tcPr>
          <w:p>
            <w:pPr>
              <w:pStyle w:val="20"/>
              <w:spacing w:line="420" w:lineRule="exact"/>
              <w:ind w:firstLine="615"/>
              <w:rPr>
                <w:rFonts w:hint="eastAsia" w:hAnsi="宋体"/>
                <w:b/>
                <w:bCs/>
                <w:color w:val="auto"/>
                <w:sz w:val="21"/>
                <w:highlight w:val="none"/>
              </w:rPr>
            </w:pPr>
            <w:r>
              <w:rPr>
                <w:rFonts w:hint="eastAsia" w:hAnsi="宋体" w:cs="宋体"/>
                <w:color w:val="auto"/>
                <w:sz w:val="21"/>
                <w:highlight w:val="none"/>
              </w:rPr>
              <w:t>供应商</w:t>
            </w:r>
            <w:r>
              <w:rPr>
                <w:rFonts w:hint="eastAsia" w:hAnsi="宋体"/>
                <w:color w:val="auto"/>
                <w:sz w:val="21"/>
                <w:highlight w:val="none"/>
              </w:rPr>
              <w:t>自</w:t>
            </w:r>
            <w:r>
              <w:rPr>
                <w:rFonts w:hint="eastAsia" w:hAnsi="宋体" w:cs="宋体"/>
                <w:color w:val="auto"/>
                <w:sz w:val="21"/>
                <w:highlight w:val="none"/>
              </w:rPr>
              <w:t>2021年1月1日（以合同签订时间为准）以来承担完成过</w:t>
            </w:r>
            <w:r>
              <w:rPr>
                <w:rStyle w:val="39"/>
                <w:rFonts w:hint="eastAsia" w:ascii="Calibri"/>
                <w:color w:val="auto"/>
                <w:highlight w:val="none"/>
              </w:rPr>
              <w:t>同类项目业绩的，</w:t>
            </w:r>
            <w:r>
              <w:rPr>
                <w:rFonts w:hint="eastAsia" w:hAnsi="宋体" w:cs="宋体"/>
                <w:color w:val="auto"/>
                <w:sz w:val="21"/>
                <w:highlight w:val="none"/>
              </w:rPr>
              <w:t>每有一个得5分，最高得10分。</w:t>
            </w:r>
            <w:r>
              <w:rPr>
                <w:rFonts w:hint="eastAsia" w:hAnsi="宋体" w:cs="宋体"/>
                <w:b/>
                <w:bCs/>
                <w:color w:val="auto"/>
                <w:sz w:val="21"/>
                <w:highlight w:val="none"/>
              </w:rPr>
              <w:t>（同一项目不同年限的业绩仅算一次得分，提供合同或中（成）交通知书等证明材料并加盖供应商电子公章）</w:t>
            </w:r>
          </w:p>
          <w:p>
            <w:pPr>
              <w:pStyle w:val="15"/>
              <w:ind w:left="0"/>
              <w:rPr>
                <w:rFonts w:hint="eastAsia"/>
                <w:color w:val="auto"/>
                <w:highlight w:val="none"/>
              </w:rPr>
            </w:pPr>
          </w:p>
        </w:tc>
        <w:tc>
          <w:tcPr>
            <w:tcW w:w="1184" w:type="dxa"/>
            <w:noWrap w:val="0"/>
            <w:vAlign w:val="center"/>
          </w:tcPr>
          <w:p>
            <w:pPr>
              <w:widowControl/>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01" w:type="dxa"/>
            <w:gridSpan w:val="4"/>
            <w:noWrap w:val="0"/>
            <w:vAlign w:val="top"/>
          </w:tcPr>
          <w:p>
            <w:pPr>
              <w:widowControl/>
              <w:spacing w:line="360" w:lineRule="auto"/>
              <w:jc w:val="left"/>
              <w:rPr>
                <w:rFonts w:hint="eastAsia"/>
                <w:color w:val="auto"/>
                <w:szCs w:val="21"/>
                <w:highlight w:val="none"/>
              </w:rPr>
            </w:pPr>
            <w:r>
              <w:rPr>
                <w:rFonts w:hint="eastAsia" w:ascii="宋体" w:hAnsi="宋体" w:cs="宋体"/>
                <w:b/>
                <w:color w:val="auto"/>
                <w:szCs w:val="21"/>
                <w:highlight w:val="none"/>
              </w:rPr>
              <w:t>总得分＝1＋2＋3</w:t>
            </w:r>
          </w:p>
        </w:tc>
      </w:tr>
    </w:tbl>
    <w:p>
      <w:pPr>
        <w:spacing w:line="360" w:lineRule="auto"/>
        <w:ind w:firstLine="420" w:firstLineChars="200"/>
        <w:rPr>
          <w:rFonts w:hint="eastAsia" w:ascii="宋体" w:hAnsi="宋体"/>
          <w:color w:val="auto"/>
          <w:szCs w:val="21"/>
          <w:highlight w:val="none"/>
        </w:rPr>
      </w:pPr>
      <w:r>
        <w:rPr>
          <w:rFonts w:ascii="宋体" w:hAnsi="宋体"/>
          <w:bCs/>
          <w:color w:val="auto"/>
          <w:szCs w:val="21"/>
          <w:highlight w:val="none"/>
        </w:rPr>
        <w:t>7.</w:t>
      </w:r>
      <w:r>
        <w:rPr>
          <w:rFonts w:hint="eastAsia" w:ascii="宋体" w:hAnsi="宋体"/>
          <w:bCs/>
          <w:color w:val="auto"/>
          <w:szCs w:val="21"/>
          <w:highlight w:val="none"/>
        </w:rPr>
        <w:t>由磋商小组根据综合评分情况，按照评审得分由高到低顺序推荐3名以上成交候选供应商，并编写评审报告。符合本章第</w:t>
      </w:r>
      <w:r>
        <w:rPr>
          <w:rFonts w:ascii="宋体" w:hAnsi="宋体"/>
          <w:bCs/>
          <w:color w:val="auto"/>
          <w:szCs w:val="21"/>
          <w:highlight w:val="none"/>
        </w:rPr>
        <w:t>4.3</w:t>
      </w:r>
      <w:r>
        <w:rPr>
          <w:rFonts w:hint="eastAsia" w:ascii="宋体" w:hAnsi="宋体"/>
          <w:bCs/>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业绩分由高到低排序）。评审得分、最后报价（不计算价格折扣）、技术得分、业绩分均相同的，由磋商小组随机抽取推荐。</w:t>
      </w:r>
    </w:p>
    <w:p>
      <w:pPr>
        <w:rPr>
          <w:color w:val="auto"/>
          <w:highlight w:val="none"/>
        </w:rPr>
      </w:pPr>
      <w:r>
        <w:rPr>
          <w:color w:val="auto"/>
          <w:highlight w:val="none"/>
        </w:rPr>
        <w:br w:type="page"/>
      </w:r>
      <w:bookmarkStart w:id="147" w:name="_Toc44229897"/>
      <w:bookmarkStart w:id="148" w:name="_Toc16595"/>
      <w:bookmarkStart w:id="149" w:name="_Toc8657"/>
      <w:bookmarkStart w:id="150" w:name="_Toc28152"/>
      <w:bookmarkStart w:id="151" w:name="_Toc1241"/>
      <w:bookmarkStart w:id="152" w:name="_Toc14310"/>
      <w:bookmarkStart w:id="153" w:name="_Toc13904"/>
      <w:bookmarkStart w:id="154" w:name="_Toc9870"/>
      <w:bookmarkStart w:id="155" w:name="_Toc13845"/>
      <w:bookmarkStart w:id="156" w:name="_Toc23949"/>
      <w:bookmarkStart w:id="157" w:name="_Toc6817"/>
      <w:bookmarkStart w:id="158" w:name="_Toc9856"/>
      <w:bookmarkStart w:id="159" w:name="_Toc2488"/>
      <w:bookmarkStart w:id="160" w:name="_Toc26032"/>
      <w:bookmarkStart w:id="161" w:name="_Toc32299"/>
      <w:bookmarkStart w:id="162" w:name="_Toc3469"/>
      <w:bookmarkStart w:id="163" w:name="_Toc5878"/>
    </w:p>
    <w:p>
      <w:pPr>
        <w:rPr>
          <w:color w:val="auto"/>
          <w:highlight w:val="none"/>
        </w:rPr>
      </w:pPr>
    </w:p>
    <w:p>
      <w:pPr>
        <w:rPr>
          <w:color w:val="auto"/>
          <w:highlight w:val="none"/>
        </w:rPr>
      </w:pP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color w:val="auto"/>
          <w:highlight w:val="none"/>
        </w:rPr>
      </w:pPr>
    </w:p>
    <w:p>
      <w:pPr>
        <w:pStyle w:val="4"/>
        <w:jc w:val="center"/>
        <w:rPr>
          <w:rFonts w:hint="eastAsia"/>
          <w:color w:val="auto"/>
          <w:highlight w:val="none"/>
        </w:rPr>
      </w:pPr>
      <w:r>
        <w:rPr>
          <w:rFonts w:hint="eastAsia"/>
          <w:color w:val="auto"/>
          <w:highlight w:val="none"/>
        </w:rPr>
        <w:t>第五章 响应文件格式</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spacing w:line="240" w:lineRule="atLeast"/>
        <w:rPr>
          <w:rFonts w:hint="eastAsia" w:ascii="宋体" w:hAnsi="宋体"/>
          <w:b/>
          <w:color w:val="auto"/>
          <w:sz w:val="32"/>
          <w:szCs w:val="32"/>
          <w:highlight w:val="none"/>
        </w:rPr>
      </w:pPr>
    </w:p>
    <w:p>
      <w:pPr>
        <w:rPr>
          <w:rFonts w:hint="eastAsia"/>
          <w:color w:val="auto"/>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宋体" w:hAnsi="宋体"/>
          <w:bCs/>
          <w:color w:val="auto"/>
          <w:sz w:val="24"/>
          <w:szCs w:val="20"/>
          <w:highlight w:val="none"/>
        </w:rPr>
      </w:pPr>
    </w:p>
    <w:p>
      <w:pPr>
        <w:snapToGrid w:val="0"/>
        <w:spacing w:before="156" w:beforeLines="50" w:after="50"/>
        <w:jc w:val="center"/>
        <w:rPr>
          <w:rFonts w:hint="eastAsia" w:ascii="仿宋_GB2312" w:hAnsi="仿宋_GB2312" w:eastAsia="仿宋_GB2312" w:cs="仿宋_GB2312"/>
          <w:bCs/>
          <w:color w:val="auto"/>
          <w:sz w:val="32"/>
          <w:szCs w:val="32"/>
          <w:highlight w:val="none"/>
        </w:rPr>
      </w:pPr>
      <w:r>
        <w:rPr>
          <w:rFonts w:ascii="宋体" w:hAnsi="宋体"/>
          <w:bCs/>
          <w:color w:val="auto"/>
          <w:sz w:val="24"/>
          <w:highlight w:val="none"/>
        </w:rPr>
        <w:br w:type="page"/>
      </w:r>
    </w:p>
    <w:p>
      <w:pPr>
        <w:rPr>
          <w:rFonts w:hint="eastAsia"/>
          <w:b/>
          <w:bCs/>
          <w:color w:val="auto"/>
          <w:sz w:val="32"/>
          <w:szCs w:val="32"/>
          <w:highlight w:val="none"/>
        </w:rPr>
      </w:pPr>
      <w:bookmarkStart w:id="164" w:name="_Toc31728084"/>
      <w:bookmarkStart w:id="165" w:name="_Toc35611438"/>
      <w:bookmarkStart w:id="166" w:name="_Toc44229899"/>
      <w:bookmarkStart w:id="167" w:name="_Toc35611516"/>
      <w:bookmarkStart w:id="168" w:name="_Toc31723070"/>
      <w:bookmarkStart w:id="169" w:name="_Toc5803"/>
      <w:r>
        <w:rPr>
          <w:rFonts w:hint="eastAsia"/>
          <w:b/>
          <w:bCs/>
          <w:color w:val="auto"/>
          <w:sz w:val="32"/>
          <w:szCs w:val="32"/>
          <w:highlight w:val="none"/>
        </w:rPr>
        <w:t>一、资格证明文件格式</w:t>
      </w:r>
      <w:bookmarkEnd w:id="164"/>
      <w:bookmarkEnd w:id="165"/>
      <w:bookmarkEnd w:id="166"/>
      <w:bookmarkEnd w:id="167"/>
      <w:bookmarkEnd w:id="168"/>
      <w:bookmarkEnd w:id="169"/>
    </w:p>
    <w:p>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资格证明文件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项目编号：</w:t>
      </w: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p>
    <w:p>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供应商名称：</w:t>
      </w:r>
    </w:p>
    <w:p>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pPr>
        <w:snapToGrid w:val="0"/>
        <w:spacing w:before="156" w:beforeLines="50" w:after="5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pPr>
        <w:snapToGrid w:val="0"/>
        <w:spacing w:before="156" w:beforeLines="50" w:after="50" w:line="360" w:lineRule="auto"/>
        <w:ind w:firstLine="645"/>
        <w:rPr>
          <w:rFonts w:ascii="宋体" w:hAnsi="宋体"/>
          <w:color w:val="auto"/>
          <w:sz w:val="24"/>
          <w:highlight w:val="none"/>
        </w:rPr>
      </w:pPr>
      <w:r>
        <w:rPr>
          <w:rFonts w:hint="eastAsia" w:ascii="宋体" w:hAnsi="宋体"/>
          <w:color w:val="auto"/>
          <w:sz w:val="24"/>
          <w:highlight w:val="none"/>
        </w:rPr>
        <w:t>根据磋商文件规定及供应商提供的材料自行编写目录（部分格式后附）。</w:t>
      </w:r>
    </w:p>
    <w:p>
      <w:pPr>
        <w:snapToGrid w:val="0"/>
        <w:spacing w:before="156" w:beforeLines="50" w:after="50"/>
        <w:rPr>
          <w:rFonts w:ascii="宋体" w:hAnsi="宋体"/>
          <w:color w:val="auto"/>
          <w:sz w:val="24"/>
          <w:szCs w:val="20"/>
          <w:highlight w:val="none"/>
        </w:rPr>
      </w:pPr>
      <w:r>
        <w:rPr>
          <w:rFonts w:ascii="宋体" w:hAnsi="宋体"/>
          <w:color w:val="auto"/>
          <w:sz w:val="24"/>
          <w:szCs w:val="20"/>
          <w:highlight w:val="none"/>
        </w:rPr>
        <w:t xml:space="preserve"> </w:t>
      </w: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00" w:lineRule="auto"/>
        <w:rPr>
          <w:rFonts w:hint="eastAsia" w:ascii="宋体" w:hAnsi="宋体"/>
          <w:color w:val="auto"/>
          <w:szCs w:val="21"/>
          <w:highlight w:val="none"/>
        </w:rPr>
      </w:pPr>
    </w:p>
    <w:p>
      <w:pPr>
        <w:spacing w:line="320" w:lineRule="exact"/>
        <w:jc w:val="left"/>
        <w:rPr>
          <w:rFonts w:hint="eastAsia" w:ascii="宋体" w:hAnsi="宋体"/>
          <w:color w:val="auto"/>
          <w:szCs w:val="21"/>
          <w:highlight w:val="none"/>
        </w:rPr>
      </w:pPr>
    </w:p>
    <w:p>
      <w:pPr>
        <w:wordWrap w:val="0"/>
        <w:spacing w:before="156" w:beforeLines="50" w:after="50" w:line="320" w:lineRule="exact"/>
        <w:ind w:right="482" w:firstLine="210" w:firstLineChars="100"/>
        <w:contextualSpacing/>
        <w:jc w:val="center"/>
        <w:rPr>
          <w:rFonts w:hint="eastAsia" w:ascii="宋体" w:hAnsi="宋体"/>
          <w:color w:val="auto"/>
          <w:szCs w:val="21"/>
          <w:highlight w:val="none"/>
        </w:rPr>
      </w:pPr>
    </w:p>
    <w:p>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供应商直接控股、管理关系信息表</w:t>
      </w:r>
    </w:p>
    <w:p>
      <w:pPr>
        <w:snapToGrid w:val="0"/>
        <w:spacing w:before="156" w:beforeLines="50" w:after="50" w:line="360" w:lineRule="auto"/>
        <w:jc w:val="center"/>
        <w:rPr>
          <w:rFonts w:hint="eastAsia" w:ascii="宋体" w:hAnsi="宋体"/>
          <w:b/>
          <w:color w:val="auto"/>
          <w:sz w:val="24"/>
          <w:highlight w:val="none"/>
        </w:rPr>
      </w:pPr>
    </w:p>
    <w:p>
      <w:pPr>
        <w:spacing w:line="32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供应商直接控股股东信息表</w:t>
      </w:r>
    </w:p>
    <w:p>
      <w:pPr>
        <w:snapToGrid w:val="0"/>
        <w:spacing w:before="50" w:after="156" w:afterLines="50" w:line="360" w:lineRule="auto"/>
        <w:jc w:val="center"/>
        <w:rPr>
          <w:rFonts w:hint="eastAsia" w:ascii="宋体" w:hAnsi="宋体"/>
          <w:b/>
          <w:color w:val="auto"/>
          <w:sz w:val="24"/>
          <w:highlight w:val="none"/>
        </w:rPr>
      </w:pPr>
    </w:p>
    <w:tbl>
      <w:tblPr>
        <w:tblStyle w:val="32"/>
        <w:tblW w:w="9335" w:type="dxa"/>
        <w:jc w:val="center"/>
        <w:shd w:val="clear" w:color="auto" w:fill="FBFBFB"/>
        <w:tblLayout w:type="fixed"/>
        <w:tblCellMar>
          <w:top w:w="0" w:type="dxa"/>
          <w:left w:w="0" w:type="dxa"/>
          <w:bottom w:w="0" w:type="dxa"/>
          <w:right w:w="0" w:type="dxa"/>
        </w:tblCellMar>
      </w:tblPr>
      <w:tblGrid>
        <w:gridCol w:w="880"/>
        <w:gridCol w:w="2360"/>
        <w:gridCol w:w="1227"/>
        <w:gridCol w:w="3998"/>
        <w:gridCol w:w="870"/>
      </w:tblGrid>
      <w:tr>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236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399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hint="eastAsia" w:ascii="宋体" w:hAnsi="宋体" w:cs="宋体"/>
                <w:color w:val="auto"/>
                <w:kern w:val="0"/>
                <w:szCs w:val="21"/>
                <w:highlight w:val="none"/>
              </w:rPr>
            </w:pPr>
          </w:p>
        </w:tc>
      </w:tr>
    </w:tbl>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pPr>
        <w:snapToGrid w:val="0"/>
        <w:spacing w:line="360" w:lineRule="auto"/>
        <w:jc w:val="left"/>
        <w:rPr>
          <w:rFonts w:hint="eastAsia" w:ascii="宋体" w:hAnsi="宋体" w:cs="宋体"/>
          <w:color w:val="auto"/>
          <w:szCs w:val="21"/>
          <w:highlight w:val="none"/>
        </w:rPr>
      </w:pPr>
    </w:p>
    <w:p>
      <w:pPr>
        <w:snapToGrid w:val="0"/>
        <w:spacing w:before="156" w:beforeLines="50" w:after="50" w:line="360" w:lineRule="auto"/>
        <w:ind w:right="480" w:firstLine="2625" w:firstLineChars="1250"/>
        <w:rPr>
          <w:rFonts w:hint="eastAsia" w:ascii="宋体" w:hAnsi="宋体" w:cs="宋体"/>
          <w:color w:val="auto"/>
          <w:szCs w:val="21"/>
          <w:highlight w:val="none"/>
          <w:u w:val="single"/>
        </w:rPr>
      </w:pPr>
      <w:r>
        <w:rPr>
          <w:rFonts w:hint="eastAsia" w:ascii="宋体" w:hAnsi="宋体" w:cs="宋体"/>
          <w:color w:val="auto"/>
          <w:szCs w:val="21"/>
          <w:highlight w:val="none"/>
        </w:rPr>
        <w:t>供应商[公章（CA签章）]：</w:t>
      </w:r>
      <w:r>
        <w:rPr>
          <w:rFonts w:hint="eastAsia" w:ascii="宋体" w:hAnsi="宋体" w:cs="宋体"/>
          <w:color w:val="auto"/>
          <w:szCs w:val="21"/>
          <w:highlight w:val="none"/>
          <w:u w:val="single"/>
        </w:rPr>
        <w:t xml:space="preserve">                              </w:t>
      </w:r>
    </w:p>
    <w:p>
      <w:pPr>
        <w:snapToGrid w:val="0"/>
        <w:spacing w:before="156" w:beforeLines="50" w:line="360" w:lineRule="auto"/>
        <w:ind w:right="480" w:firstLine="1680" w:firstLineChars="800"/>
        <w:rPr>
          <w:rFonts w:hint="eastAsia" w:ascii="宋体" w:hAnsi="宋体" w:cs="宋体"/>
          <w:color w:val="auto"/>
          <w:szCs w:val="21"/>
          <w:highlight w:val="none"/>
          <w:u w:val="single"/>
        </w:rPr>
      </w:pPr>
      <w:r>
        <w:rPr>
          <w:rFonts w:hint="eastAsia" w:ascii="宋体" w:hAnsi="宋体" w:cs="宋体"/>
          <w:color w:val="auto"/>
          <w:szCs w:val="21"/>
          <w:highlight w:val="none"/>
        </w:rPr>
        <w:t>法定代表人（负责人）或授权代理人签字（或个人CA签章）：</w:t>
      </w:r>
      <w:r>
        <w:rPr>
          <w:rFonts w:hint="eastAsia" w:ascii="宋体" w:hAnsi="宋体" w:cs="宋体"/>
          <w:color w:val="auto"/>
          <w:szCs w:val="21"/>
          <w:highlight w:val="none"/>
          <w:u w:val="single"/>
        </w:rPr>
        <w:t xml:space="preserve">                </w:t>
      </w:r>
    </w:p>
    <w:p>
      <w:pPr>
        <w:snapToGrid w:val="0"/>
        <w:spacing w:before="156" w:beforeLines="50" w:after="50" w:line="360" w:lineRule="auto"/>
        <w:ind w:right="480"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供应商直接管理关系信息表</w:t>
      </w:r>
    </w:p>
    <w:p>
      <w:pPr>
        <w:snapToGrid w:val="0"/>
        <w:spacing w:line="360" w:lineRule="auto"/>
        <w:jc w:val="center"/>
        <w:rPr>
          <w:rFonts w:hint="eastAsia" w:ascii="宋体" w:hAnsi="宋体"/>
          <w:b/>
          <w:color w:val="auto"/>
          <w:sz w:val="24"/>
          <w:highlight w:val="none"/>
        </w:rPr>
      </w:pPr>
    </w:p>
    <w:tbl>
      <w:tblPr>
        <w:tblStyle w:val="32"/>
        <w:tblW w:w="9133" w:type="dxa"/>
        <w:jc w:val="center"/>
        <w:shd w:val="clear" w:color="auto" w:fill="FBFBFB"/>
        <w:tblLayout w:type="fixed"/>
        <w:tblCellMar>
          <w:top w:w="0" w:type="dxa"/>
          <w:left w:w="0" w:type="dxa"/>
          <w:bottom w:w="0" w:type="dxa"/>
          <w:right w:w="0" w:type="dxa"/>
        </w:tblCellMar>
      </w:tblPr>
      <w:tblGrid>
        <w:gridCol w:w="808"/>
        <w:gridCol w:w="3600"/>
        <w:gridCol w:w="3555"/>
        <w:gridCol w:w="1170"/>
      </w:tblGrid>
      <w:tr>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r>
        <w:tblPrEx>
          <w:shd w:val="clear" w:color="auto" w:fill="FBFBFB"/>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c>
          <w:tcPr>
            <w:tcW w:w="11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jc w:val="center"/>
              <w:rPr>
                <w:rFonts w:ascii="宋体" w:hAnsi="宋体" w:cs="宋体"/>
                <w:color w:val="auto"/>
                <w:kern w:val="0"/>
                <w:szCs w:val="21"/>
                <w:highlight w:val="none"/>
              </w:rPr>
            </w:pPr>
          </w:p>
        </w:tc>
      </w:tr>
    </w:tbl>
    <w:p>
      <w:pPr>
        <w:snapToGrid w:val="0"/>
        <w:spacing w:line="360" w:lineRule="auto"/>
        <w:jc w:val="left"/>
        <w:rPr>
          <w:rFonts w:hint="eastAsia" w:ascii="宋体" w:hAnsi="宋体"/>
          <w:color w:val="auto"/>
          <w:szCs w:val="21"/>
          <w:highlight w:val="none"/>
        </w:rPr>
      </w:pPr>
      <w:r>
        <w:rPr>
          <w:rFonts w:hint="eastAsia" w:ascii="宋体" w:hAnsi="宋体"/>
          <w:color w:val="auto"/>
          <w:szCs w:val="21"/>
          <w:highlight w:val="none"/>
        </w:rPr>
        <w:t>注：</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1.管理关系：是指不具有出资持股关系的其他单位之间存在的管理与被管理关系，如一些上下级关系的事业单位和团体组织。</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pacing w:val="-6"/>
          <w:szCs w:val="21"/>
          <w:highlight w:val="none"/>
        </w:rPr>
        <w:t>本表所指的管理关系仅限于直接管理关系，不包括间接的管理关系。</w:t>
      </w:r>
    </w:p>
    <w:p>
      <w:pPr>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3.供应商不存在直接管理关系的，则填“无”。</w:t>
      </w: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ascii="宋体" w:hAnsi="宋体"/>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left"/>
        <w:rPr>
          <w:rFonts w:hint="eastAsia"/>
          <w:color w:val="auto"/>
          <w:sz w:val="24"/>
          <w:highlight w:val="none"/>
        </w:rPr>
      </w:pPr>
    </w:p>
    <w:p>
      <w:pPr>
        <w:snapToGrid w:val="0"/>
        <w:spacing w:line="360" w:lineRule="auto"/>
        <w:jc w:val="center"/>
        <w:rPr>
          <w:rFonts w:hint="eastAsia" w:ascii="宋体" w:hAnsi="宋体" w:cs="宋体"/>
          <w:color w:val="auto"/>
          <w:szCs w:val="21"/>
          <w:highlight w:val="none"/>
        </w:rPr>
      </w:pPr>
    </w:p>
    <w:p>
      <w:pPr>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供应商[公章（CA签章）]：                              </w:t>
      </w:r>
    </w:p>
    <w:p>
      <w:pPr>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法定代表人（负责人）或授权代理人签字（或个人CA签章）：                </w:t>
      </w:r>
    </w:p>
    <w:p>
      <w:pPr>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日期：    年    月    日</w:t>
      </w:r>
    </w:p>
    <w:p>
      <w:pPr>
        <w:spacing w:line="320" w:lineRule="exact"/>
        <w:jc w:val="center"/>
        <w:rPr>
          <w:rFonts w:hint="eastAsia" w:ascii="宋体" w:hAnsi="宋体"/>
          <w:b/>
          <w:color w:val="auto"/>
          <w:sz w:val="28"/>
          <w:szCs w:val="28"/>
          <w:highlight w:val="none"/>
        </w:rPr>
      </w:pPr>
      <w:r>
        <w:rPr>
          <w:rFonts w:ascii="宋体" w:hAnsi="宋体"/>
          <w:color w:val="auto"/>
          <w:sz w:val="28"/>
          <w:szCs w:val="28"/>
          <w:highlight w:val="none"/>
        </w:rPr>
        <w:br w:type="page"/>
      </w:r>
      <w:r>
        <w:rPr>
          <w:rFonts w:hint="eastAsia" w:ascii="宋体" w:hAnsi="宋体"/>
          <w:b/>
          <w:color w:val="auto"/>
          <w:sz w:val="28"/>
          <w:szCs w:val="28"/>
          <w:highlight w:val="none"/>
        </w:rPr>
        <w:t>竞标声明</w:t>
      </w:r>
    </w:p>
    <w:p>
      <w:pPr>
        <w:spacing w:line="320" w:lineRule="exact"/>
        <w:jc w:val="center"/>
        <w:rPr>
          <w:rFonts w:hint="eastAsia" w:ascii="宋体" w:hAnsi="宋体"/>
          <w:color w:val="auto"/>
          <w:sz w:val="24"/>
          <w:szCs w:val="20"/>
          <w:highlight w:val="none"/>
        </w:rPr>
      </w:pPr>
    </w:p>
    <w:p>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（采购代理机构名称）</w:t>
      </w:r>
      <w:r>
        <w:rPr>
          <w:rFonts w:hint="eastAsia" w:ascii="宋体" w:hAnsi="宋体" w:cs="宋体"/>
          <w:color w:val="auto"/>
          <w:szCs w:val="21"/>
          <w:highlight w:val="none"/>
        </w:rPr>
        <w:t>：</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（4）响应磋商文件规定的竞标有效期。</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pPr>
        <w:spacing w:line="360" w:lineRule="auto"/>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20"/>
        <w:spacing w:line="360" w:lineRule="auto"/>
        <w:ind w:firstLine="420" w:firstLineChars="200"/>
        <w:contextualSpacing/>
        <w:rPr>
          <w:rFonts w:hint="eastAsia"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pPr>
        <w:pStyle w:val="20"/>
        <w:spacing w:line="360" w:lineRule="auto"/>
        <w:ind w:firstLine="420" w:firstLineChars="200"/>
        <w:contextualSpacing/>
        <w:rPr>
          <w:rFonts w:hint="eastAsia"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pPr>
        <w:pStyle w:val="18"/>
        <w:tabs>
          <w:tab w:val="left" w:pos="939"/>
        </w:tabs>
        <w:spacing w:line="360" w:lineRule="auto"/>
        <w:ind w:left="0" w:leftChars="0" w:firstLine="315" w:firstLineChars="15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账号</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pStyle w:val="18"/>
        <w:tabs>
          <w:tab w:val="left" w:pos="939"/>
        </w:tabs>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8.以上事项如有虚假或者隐瞒，我方愿意承担一切后果，并不再寻求任何旨在减轻或者免除法律责任的辩解。</w:t>
      </w:r>
    </w:p>
    <w:p>
      <w:pPr>
        <w:pStyle w:val="18"/>
        <w:tabs>
          <w:tab w:val="left" w:pos="939"/>
        </w:tabs>
        <w:spacing w:line="360" w:lineRule="auto"/>
        <w:ind w:left="0" w:leftChars="0"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pPr>
        <w:pStyle w:val="18"/>
        <w:tabs>
          <w:tab w:val="left" w:pos="939"/>
        </w:tabs>
        <w:spacing w:line="360" w:lineRule="auto"/>
        <w:ind w:left="0" w:leftChars="0"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注：如为联合体竞标，盖章处须加盖联合体各方公章并由联合体各方法定代表人签署，否则其响应文件按无效响应处理。</w:t>
      </w:r>
    </w:p>
    <w:p>
      <w:pPr>
        <w:snapToGrid w:val="0"/>
        <w:spacing w:before="156" w:beforeLines="50" w:line="360" w:lineRule="auto"/>
        <w:ind w:right="480"/>
        <w:jc w:val="center"/>
        <w:rPr>
          <w:rFonts w:ascii="宋体" w:hAnsi="宋体" w:cs="宋体"/>
          <w:color w:val="auto"/>
          <w:szCs w:val="21"/>
          <w:highlight w:val="none"/>
        </w:rPr>
      </w:pPr>
      <w:r>
        <w:rPr>
          <w:rFonts w:hint="eastAsia" w:ascii="宋体" w:hAnsi="宋体" w:cs="宋体"/>
          <w:color w:val="auto"/>
          <w:szCs w:val="21"/>
          <w:highlight w:val="none"/>
        </w:rPr>
        <w:t>供应商[公章（CA签章）]：</w:t>
      </w:r>
    </w:p>
    <w:p>
      <w:pPr>
        <w:snapToGrid w:val="0"/>
        <w:spacing w:before="156" w:beforeLines="50" w:line="360" w:lineRule="auto"/>
        <w:ind w:right="480"/>
        <w:jc w:val="center"/>
        <w:rPr>
          <w:rFonts w:hint="eastAsia" w:ascii="宋体" w:hAnsi="宋体" w:cs="宋体"/>
          <w:color w:val="auto"/>
          <w:szCs w:val="21"/>
          <w:highlight w:val="none"/>
        </w:rPr>
      </w:pPr>
      <w:r>
        <w:rPr>
          <w:rFonts w:hint="eastAsia" w:ascii="宋体" w:hAnsi="宋体" w:cs="宋体"/>
          <w:color w:val="auto"/>
          <w:szCs w:val="21"/>
          <w:highlight w:val="none"/>
        </w:rPr>
        <w:t>法定代表人（负责人）或授权代理人签字（或个人CA签章）：</w:t>
      </w:r>
    </w:p>
    <w:p>
      <w:pPr>
        <w:pStyle w:val="8"/>
        <w:overflowPunct w:val="0"/>
        <w:spacing w:line="520" w:lineRule="exact"/>
        <w:ind w:firstLine="0"/>
        <w:jc w:val="center"/>
        <w:rPr>
          <w:rFonts w:hint="eastAsia" w:ascii="宋体" w:hAnsi="宋体" w:cs="宋体"/>
          <w:b/>
          <w:bCs/>
          <w:color w:val="auto"/>
          <w:sz w:val="28"/>
          <w:szCs w:val="28"/>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年     月     </w:t>
      </w:r>
      <w:r>
        <w:rPr>
          <w:rFonts w:hint="eastAsia" w:ascii="宋体" w:hAnsi="宋体" w:cs="宋体"/>
          <w:color w:val="auto"/>
          <w:szCs w:val="21"/>
          <w:highlight w:val="none"/>
        </w:rPr>
        <w:t>日</w:t>
      </w:r>
      <w:r>
        <w:rPr>
          <w:rFonts w:ascii="宋体" w:hAnsi="宋体"/>
          <w:color w:val="auto"/>
          <w:sz w:val="28"/>
          <w:szCs w:val="28"/>
          <w:highlight w:val="none"/>
        </w:rPr>
        <w:br w:type="page"/>
      </w:r>
      <w:r>
        <w:rPr>
          <w:rFonts w:hint="eastAsia" w:ascii="宋体" w:hAnsi="宋体" w:cs="宋体"/>
          <w:b/>
          <w:bCs/>
          <w:color w:val="auto"/>
          <w:sz w:val="28"/>
          <w:szCs w:val="28"/>
          <w:highlight w:val="none"/>
        </w:rPr>
        <w:t>联合体竞标协议书</w:t>
      </w:r>
    </w:p>
    <w:p>
      <w:pPr>
        <w:pStyle w:val="8"/>
        <w:overflowPunct w:val="0"/>
        <w:spacing w:line="520" w:lineRule="exact"/>
        <w:ind w:firstLine="0"/>
        <w:rPr>
          <w:rFonts w:ascii="宋体" w:hAnsi="宋体"/>
          <w:color w:val="auto"/>
          <w:sz w:val="24"/>
          <w:highlight w:val="none"/>
        </w:rPr>
      </w:pP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（所有成员单位名称）自愿组成</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（联合体名称）联合体，共同参加（项目名称）采购项目竞标。现就联合体竞标事宜订立如下协议：</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1.</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ab/>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（某成员单位名称）为</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（联合体名称）牵头人。</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2.联合体各成员授权牵头人代表联合体参加竞标活动，签署文件及对文件的盖章，提交和接收相关的资料、信息及指示，进行合同磋商活动，负责合同实施阶段的组织和协调工作，以及处理与本竞标项目有关的一切事宜。</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3.联合体牵头人在本项目中签署和盖章的一切文件和处理的一切事宜，联合体各成员均予以承认。联合体各成员将严格按照磋商文件、响应文件和合同的要求全面履行义务，并向采购人承担连带责任。</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4.联合体各成员单位内部的职责分工如下：</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5.本</w:t>
      </w:r>
      <w:r>
        <w:rPr>
          <w:rFonts w:hint="eastAsia" w:ascii="宋体" w:hAnsi="宋体" w:cs="仿宋_GB2312"/>
          <w:color w:val="auto"/>
          <w:spacing w:val="-6"/>
          <w:szCs w:val="21"/>
          <w:highlight w:val="none"/>
        </w:rPr>
        <w:t>协议书自所有成员单位法定代表人或者其委托代理人签字或者盖单位章之日起生效，合同履行完毕后自动失效。</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6.本协议书一式</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u w:val="single"/>
        </w:rPr>
        <w:tab/>
      </w:r>
      <w:r>
        <w:rPr>
          <w:rFonts w:hint="eastAsia" w:ascii="宋体" w:hAnsi="宋体" w:cs="仿宋_GB2312"/>
          <w:color w:val="auto"/>
          <w:szCs w:val="21"/>
          <w:highlight w:val="none"/>
        </w:rPr>
        <w:t>份，联合体成员和采购人各执一份。</w:t>
      </w:r>
    </w:p>
    <w:p>
      <w:pPr>
        <w:pStyle w:val="8"/>
        <w:overflowPunct w:val="0"/>
        <w:spacing w:line="360" w:lineRule="auto"/>
        <w:ind w:firstLineChars="200"/>
        <w:rPr>
          <w:rFonts w:hint="eastAsia" w:ascii="宋体" w:hAnsi="宋体" w:cs="仿宋_GB2312"/>
          <w:color w:val="auto"/>
          <w:szCs w:val="21"/>
          <w:highlight w:val="none"/>
        </w:rPr>
      </w:pPr>
      <w:r>
        <w:rPr>
          <w:rFonts w:hint="eastAsia" w:ascii="宋体" w:hAnsi="宋体" w:cs="仿宋_GB2312"/>
          <w:color w:val="auto"/>
          <w:szCs w:val="21"/>
          <w:highlight w:val="none"/>
        </w:rPr>
        <w:t>注：本协议书由法定代表人签字的，应附法定代表人身份证明书；由委托代理人签字的，应附联合体协议签订授权委托书（格式自拟）。</w:t>
      </w:r>
    </w:p>
    <w:p>
      <w:pPr>
        <w:pStyle w:val="8"/>
        <w:overflowPunct w:val="0"/>
        <w:spacing w:line="360" w:lineRule="auto"/>
        <w:ind w:firstLine="367" w:firstLineChars="175"/>
        <w:rPr>
          <w:rFonts w:hint="eastAsia" w:ascii="宋体" w:hAnsi="宋体" w:cs="仿宋_GB2312"/>
          <w:color w:val="auto"/>
          <w:szCs w:val="21"/>
          <w:highlight w:val="none"/>
        </w:rPr>
      </w:pPr>
    </w:p>
    <w:p>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联合体牵头人名称（盖公章）：</w:t>
      </w:r>
    </w:p>
    <w:p>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法定代表人或者其委托代理人（签字）：</w:t>
      </w:r>
    </w:p>
    <w:p>
      <w:pPr>
        <w:pStyle w:val="8"/>
        <w:overflowPunct w:val="0"/>
        <w:spacing w:line="360" w:lineRule="auto"/>
        <w:ind w:firstLineChars="200"/>
        <w:rPr>
          <w:rFonts w:hint="eastAsia" w:ascii="宋体" w:hAnsi="宋体" w:cs="仿宋_GB2312"/>
          <w:color w:val="auto"/>
          <w:szCs w:val="21"/>
          <w:highlight w:val="none"/>
        </w:rPr>
      </w:pPr>
    </w:p>
    <w:p>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联合体成员名称（盖公章）：</w:t>
      </w:r>
    </w:p>
    <w:p>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法定代表人或者其委托代理人（签字）：</w:t>
      </w:r>
    </w:p>
    <w:p>
      <w:pPr>
        <w:pStyle w:val="8"/>
        <w:overflowPunct w:val="0"/>
        <w:spacing w:line="360" w:lineRule="auto"/>
        <w:ind w:firstLineChars="200"/>
        <w:rPr>
          <w:rFonts w:hint="eastAsia" w:ascii="宋体" w:hAnsi="宋体" w:cs="仿宋_GB2312"/>
          <w:color w:val="auto"/>
          <w:szCs w:val="21"/>
          <w:highlight w:val="none"/>
        </w:rPr>
      </w:pPr>
    </w:p>
    <w:p>
      <w:pPr>
        <w:pStyle w:val="8"/>
        <w:overflowPunct w:val="0"/>
        <w:spacing w:line="360" w:lineRule="auto"/>
        <w:ind w:firstLine="0"/>
        <w:rPr>
          <w:rFonts w:hint="eastAsia" w:ascii="宋体" w:hAnsi="宋体" w:cs="仿宋_GB2312"/>
          <w:color w:val="auto"/>
          <w:szCs w:val="21"/>
          <w:highlight w:val="none"/>
        </w:rPr>
      </w:pPr>
      <w:r>
        <w:rPr>
          <w:rFonts w:hint="eastAsia" w:ascii="宋体" w:hAnsi="宋体" w:cs="仿宋_GB2312"/>
          <w:color w:val="auto"/>
          <w:szCs w:val="21"/>
          <w:highlight w:val="none"/>
        </w:rPr>
        <w:t>联合体成员名称（盖公章）：</w:t>
      </w:r>
    </w:p>
    <w:p>
      <w:pPr>
        <w:pStyle w:val="8"/>
        <w:overflowPunct w:val="0"/>
        <w:spacing w:line="360" w:lineRule="auto"/>
        <w:ind w:firstLine="0"/>
        <w:rPr>
          <w:rFonts w:hint="eastAsia" w:ascii="宋体" w:hAnsi="宋体" w:cs="仿宋_GB2312"/>
          <w:color w:val="auto"/>
          <w:sz w:val="24"/>
          <w:szCs w:val="24"/>
          <w:highlight w:val="none"/>
        </w:rPr>
      </w:pPr>
      <w:r>
        <w:rPr>
          <w:rFonts w:hint="eastAsia" w:ascii="宋体" w:hAnsi="宋体" w:cs="仿宋_GB2312"/>
          <w:color w:val="auto"/>
          <w:szCs w:val="21"/>
          <w:highlight w:val="none"/>
        </w:rPr>
        <w:t>法定代表人或者其委托代理人（签字）：</w:t>
      </w:r>
    </w:p>
    <w:p>
      <w:pPr>
        <w:pStyle w:val="8"/>
        <w:overflowPunct w:val="0"/>
        <w:spacing w:line="360" w:lineRule="auto"/>
        <w:ind w:firstLine="0"/>
        <w:rPr>
          <w:rFonts w:hint="eastAsia" w:ascii="宋体" w:hAnsi="宋体" w:cs="仿宋_GB2312"/>
          <w:color w:val="auto"/>
          <w:sz w:val="24"/>
          <w:szCs w:val="24"/>
          <w:highlight w:val="none"/>
        </w:rPr>
      </w:pPr>
      <w:r>
        <w:rPr>
          <w:rFonts w:hint="eastAsia" w:ascii="宋体" w:hAnsi="宋体" w:cs="仿宋_GB2312"/>
          <w:color w:val="auto"/>
          <w:sz w:val="24"/>
          <w:szCs w:val="24"/>
          <w:highlight w:val="none"/>
        </w:rPr>
        <w:t>……</w:t>
      </w:r>
    </w:p>
    <w:p>
      <w:pPr>
        <w:pStyle w:val="8"/>
        <w:overflowPunct w:val="0"/>
        <w:spacing w:line="360" w:lineRule="auto"/>
        <w:ind w:firstLine="367" w:firstLineChars="175"/>
        <w:jc w:val="right"/>
        <w:rPr>
          <w:rFonts w:hint="eastAsia" w:ascii="仿宋_GB2312" w:hAnsi="仿宋_GB2312" w:eastAsia="仿宋_GB2312" w:cs="仿宋_GB2312"/>
          <w:color w:val="auto"/>
          <w:szCs w:val="21"/>
          <w:highlight w:val="none"/>
        </w:rPr>
      </w:pPr>
      <w:r>
        <w:rPr>
          <w:rFonts w:hint="eastAsia" w:ascii="宋体" w:hAnsi="宋体" w:cs="仿宋_GB2312"/>
          <w:color w:val="auto"/>
          <w:szCs w:val="21"/>
          <w:highlight w:val="none"/>
        </w:rPr>
        <w:t xml:space="preserve"> 年  </w:t>
      </w:r>
      <w:r>
        <w:rPr>
          <w:rFonts w:hint="eastAsia" w:ascii="宋体" w:hAnsi="宋体" w:cs="仿宋_GB2312"/>
          <w:color w:val="auto"/>
          <w:szCs w:val="21"/>
          <w:highlight w:val="none"/>
        </w:rPr>
        <w:tab/>
      </w:r>
      <w:r>
        <w:rPr>
          <w:rFonts w:hint="eastAsia" w:ascii="宋体" w:hAnsi="宋体" w:cs="仿宋_GB2312"/>
          <w:color w:val="auto"/>
          <w:szCs w:val="21"/>
          <w:highlight w:val="none"/>
        </w:rPr>
        <w:t xml:space="preserve">月  </w:t>
      </w:r>
      <w:r>
        <w:rPr>
          <w:rFonts w:hint="eastAsia" w:ascii="宋体" w:hAnsi="宋体" w:cs="仿宋_GB2312"/>
          <w:color w:val="auto"/>
          <w:szCs w:val="21"/>
          <w:highlight w:val="none"/>
        </w:rPr>
        <w:tab/>
      </w:r>
      <w:r>
        <w:rPr>
          <w:rFonts w:hint="eastAsia" w:ascii="宋体" w:hAnsi="宋体" w:cs="仿宋_GB2312"/>
          <w:color w:val="auto"/>
          <w:szCs w:val="21"/>
          <w:highlight w:val="none"/>
        </w:rPr>
        <w:t>日</w:t>
      </w:r>
    </w:p>
    <w:p>
      <w:pPr>
        <w:pStyle w:val="8"/>
        <w:overflowPunct w:val="0"/>
        <w:ind w:firstLine="0"/>
        <w:rPr>
          <w:rFonts w:hint="eastAsia" w:ascii="宋体" w:hAnsi="宋体"/>
          <w:color w:val="auto"/>
          <w:sz w:val="30"/>
          <w:highlight w:val="none"/>
        </w:rPr>
      </w:pPr>
    </w:p>
    <w:p>
      <w:pPr>
        <w:snapToGrid w:val="0"/>
        <w:spacing w:before="156" w:beforeLines="50" w:after="50" w:line="360" w:lineRule="auto"/>
        <w:ind w:right="480" w:firstLine="321" w:firstLineChars="100"/>
        <w:rPr>
          <w:rFonts w:hint="eastAsia"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报价商务技术文件格式 </w:t>
      </w:r>
    </w:p>
    <w:p>
      <w:pPr>
        <w:snapToGrid w:val="0"/>
        <w:spacing w:before="156" w:beforeLines="50" w:after="50" w:line="360" w:lineRule="auto"/>
        <w:jc w:val="left"/>
        <w:rPr>
          <w:rFonts w:ascii="宋体" w:hAnsi="宋体"/>
          <w:b/>
          <w:color w:val="auto"/>
          <w:sz w:val="32"/>
          <w:szCs w:val="32"/>
          <w:highlight w:val="none"/>
        </w:rPr>
      </w:pPr>
      <w:r>
        <w:rPr>
          <w:rFonts w:hint="eastAsia" w:ascii="宋体" w:hAnsi="宋体"/>
          <w:b/>
          <w:color w:val="auto"/>
          <w:sz w:val="32"/>
          <w:szCs w:val="32"/>
          <w:highlight w:val="none"/>
        </w:rPr>
        <w:t>1.报价商务技术文件封面格式</w:t>
      </w:r>
    </w:p>
    <w:p>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rPr>
          <w:rFonts w:hint="eastAsia" w:ascii="宋体" w:hAnsi="宋体"/>
          <w:color w:val="auto"/>
          <w:sz w:val="24"/>
          <w:szCs w:val="20"/>
          <w:highlight w:val="none"/>
        </w:rPr>
      </w:pPr>
    </w:p>
    <w:p>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报价商务技术文件</w:t>
      </w: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rPr>
          <w:rFonts w:hint="eastAsia" w:ascii="宋体" w:hAnsi="宋体"/>
          <w:bCs/>
          <w:color w:val="auto"/>
          <w:sz w:val="24"/>
          <w:szCs w:val="20"/>
          <w:highlight w:val="none"/>
        </w:rPr>
      </w:pPr>
    </w:p>
    <w:p>
      <w:pPr>
        <w:snapToGrid w:val="0"/>
        <w:spacing w:before="156" w:beforeLines="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项目名称：</w:t>
      </w: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p>
    <w:p>
      <w:pPr>
        <w:snapToGrid w:val="0"/>
        <w:spacing w:before="156" w:beforeLines="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项目编号：</w:t>
      </w:r>
    </w:p>
    <w:p>
      <w:pPr>
        <w:snapToGrid w:val="0"/>
        <w:spacing w:before="156" w:beforeLines="50" w:after="50"/>
        <w:ind w:firstLine="720" w:firstLineChars="225"/>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 xml:space="preserve"> </w:t>
      </w:r>
    </w:p>
    <w:p>
      <w:pPr>
        <w:pStyle w:val="8"/>
        <w:snapToGrid w:val="0"/>
        <w:spacing w:before="50" w:after="50"/>
        <w:ind w:firstLine="640" w:firstLineChars="200"/>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供应商名称：</w:t>
      </w:r>
    </w:p>
    <w:p>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8"/>
        <w:snapToGrid w:val="0"/>
        <w:spacing w:before="50" w:after="50"/>
        <w:ind w:firstLine="720" w:firstLineChars="225"/>
        <w:rPr>
          <w:rFonts w:hint="eastAsia" w:ascii="仿宋_GB2312" w:hAnsi="仿宋_GB2312" w:eastAsia="仿宋_GB2312" w:cs="仿宋_GB2312"/>
          <w:bCs/>
          <w:color w:val="auto"/>
          <w:sz w:val="32"/>
          <w:szCs w:val="32"/>
          <w:highlight w:val="none"/>
        </w:rPr>
      </w:pPr>
    </w:p>
    <w:p>
      <w:pPr>
        <w:pStyle w:val="8"/>
        <w:snapToGrid w:val="0"/>
        <w:spacing w:before="50" w:after="50"/>
        <w:ind w:firstLine="1280" w:firstLineChars="400"/>
        <w:rPr>
          <w:rFonts w:hint="eastAsia" w:ascii="仿宋_GB2312" w:hAnsi="仿宋_GB2312" w:eastAsia="仿宋_GB2312" w:cs="仿宋_GB2312"/>
          <w:bCs/>
          <w:color w:val="auto"/>
          <w:sz w:val="32"/>
          <w:szCs w:val="32"/>
          <w:highlight w:val="none"/>
        </w:rPr>
      </w:pPr>
    </w:p>
    <w:p>
      <w:pPr>
        <w:snapToGrid w:val="0"/>
        <w:spacing w:before="156" w:beforeLines="50" w:after="50"/>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    月    日</w:t>
      </w:r>
    </w:p>
    <w:p>
      <w:pPr>
        <w:snapToGrid w:val="0"/>
        <w:spacing w:before="156" w:beforeLines="50" w:after="50" w:line="360" w:lineRule="auto"/>
        <w:ind w:left="142"/>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2.报价商务技术文件目录</w:t>
      </w:r>
    </w:p>
    <w:p>
      <w:pPr>
        <w:snapToGrid w:val="0"/>
        <w:spacing w:before="156" w:beforeLines="50" w:after="50" w:line="360" w:lineRule="auto"/>
        <w:ind w:firstLine="480" w:firstLineChars="200"/>
        <w:rPr>
          <w:rFonts w:ascii="宋体" w:hAnsi="宋体"/>
          <w:color w:val="auto"/>
          <w:sz w:val="24"/>
          <w:highlight w:val="none"/>
        </w:rPr>
      </w:pPr>
      <w:r>
        <w:rPr>
          <w:rFonts w:hint="eastAsia" w:ascii="宋体" w:hAnsi="宋体"/>
          <w:color w:val="auto"/>
          <w:sz w:val="24"/>
          <w:highlight w:val="none"/>
        </w:rPr>
        <w:t>根据磋商文件规定及供应商提供的材料自行编写目录（部分格式后附）。</w:t>
      </w:r>
    </w:p>
    <w:p>
      <w:pPr>
        <w:spacing w:line="400" w:lineRule="exact"/>
        <w:rPr>
          <w:rFonts w:hint="eastAsia" w:ascii="仿宋_GB2312" w:hAnsi="仿宋_GB2312" w:eastAsia="仿宋_GB2312" w:cs="仿宋_GB2312"/>
          <w:color w:val="auto"/>
          <w:sz w:val="32"/>
          <w:szCs w:val="32"/>
          <w:highlight w:val="none"/>
        </w:rPr>
      </w:pPr>
    </w:p>
    <w:p>
      <w:pPr>
        <w:spacing w:line="520" w:lineRule="exact"/>
        <w:jc w:val="center"/>
        <w:rPr>
          <w:rFonts w:hint="eastAsia" w:ascii="宋体" w:hAnsi="宋体" w:cs="宋体"/>
          <w:b/>
          <w:bCs/>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cs="宋体"/>
          <w:b/>
          <w:bCs/>
          <w:color w:val="auto"/>
          <w:sz w:val="28"/>
          <w:szCs w:val="28"/>
          <w:highlight w:val="none"/>
        </w:rPr>
        <w:t>无串通竞标行为的承诺函</w:t>
      </w:r>
    </w:p>
    <w:p>
      <w:pPr>
        <w:spacing w:line="400" w:lineRule="exact"/>
        <w:ind w:firstLine="640" w:firstLineChars="200"/>
        <w:rPr>
          <w:rFonts w:hint="eastAsia" w:ascii="仿宋_GB2312" w:hAnsi="仿宋_GB2312" w:eastAsia="仿宋_GB2312" w:cs="仿宋_GB2312"/>
          <w:color w:val="auto"/>
          <w:sz w:val="32"/>
          <w:szCs w:val="32"/>
          <w:highlight w:val="none"/>
        </w:rPr>
      </w:pPr>
    </w:p>
    <w:p>
      <w:pPr>
        <w:spacing w:line="360" w:lineRule="auto"/>
        <w:ind w:firstLine="421" w:firstLineChars="200"/>
        <w:rPr>
          <w:rFonts w:hint="eastAsia" w:ascii="宋体" w:hAnsi="宋体" w:cs="仿宋_GB2312"/>
          <w:b/>
          <w:bCs/>
          <w:color w:val="auto"/>
          <w:szCs w:val="21"/>
          <w:highlight w:val="none"/>
        </w:rPr>
      </w:pPr>
      <w:r>
        <w:rPr>
          <w:rFonts w:hint="eastAsia" w:ascii="宋体" w:hAnsi="宋体" w:cs="仿宋_GB2312"/>
          <w:b/>
          <w:bCs/>
          <w:color w:val="auto"/>
          <w:szCs w:val="21"/>
          <w:highlight w:val="none"/>
        </w:rPr>
        <w:t>一、我方承诺无下列相互串通竞标的情形：</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1.不同供应商的响应文件由同一单位或者个人编制；或者不同供应商报名的IP地址一致的；</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2.不同供应商委托同一单位或者个人办理竞标事宜；</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3.不同供应商的响应文件载明的项目管理员为同一个人；</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4.不</w:t>
      </w:r>
      <w:r>
        <w:rPr>
          <w:rFonts w:hint="eastAsia" w:ascii="宋体" w:hAnsi="宋体" w:cs="仿宋_GB2312"/>
          <w:color w:val="auto"/>
          <w:spacing w:val="-6"/>
          <w:szCs w:val="21"/>
          <w:highlight w:val="none"/>
        </w:rPr>
        <w:t>同供应商的响应文件异常一致或者竞标报价呈规律性差异；</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5.不同供应商的响应文件相互混装；</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6.不同供应商的磋商保证金从同一单位或者个人账户转出。</w:t>
      </w:r>
    </w:p>
    <w:p>
      <w:pPr>
        <w:spacing w:line="360" w:lineRule="auto"/>
        <w:ind w:firstLine="421" w:firstLineChars="200"/>
        <w:rPr>
          <w:rFonts w:hint="eastAsia" w:ascii="宋体" w:hAnsi="宋体" w:cs="仿宋_GB2312"/>
          <w:b/>
          <w:bCs/>
          <w:color w:val="auto"/>
          <w:szCs w:val="21"/>
          <w:highlight w:val="none"/>
        </w:rPr>
      </w:pPr>
      <w:r>
        <w:rPr>
          <w:rFonts w:hint="eastAsia" w:ascii="宋体" w:hAnsi="宋体" w:cs="仿宋_GB2312"/>
          <w:b/>
          <w:bCs/>
          <w:color w:val="auto"/>
          <w:szCs w:val="21"/>
          <w:highlight w:val="none"/>
        </w:rPr>
        <w:t>二、我方承诺无下列恶意串通的情形：</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3.供</w:t>
      </w:r>
      <w:r>
        <w:rPr>
          <w:rFonts w:hint="eastAsia" w:ascii="宋体" w:hAnsi="宋体" w:cs="仿宋_GB2312"/>
          <w:color w:val="auto"/>
          <w:spacing w:val="-6"/>
          <w:szCs w:val="21"/>
          <w:highlight w:val="none"/>
        </w:rPr>
        <w:t>应商之间协商报价、技术方案等响应文件的实质性内容；</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7.供应商与采购人或者采购代理机构之间、供应商相互之间，为</w:t>
      </w:r>
      <w:r>
        <w:rPr>
          <w:rFonts w:hint="eastAsia" w:ascii="宋体" w:hAnsi="宋体" w:cs="仿宋_GB2312"/>
          <w:color w:val="auto"/>
          <w:spacing w:val="-6"/>
          <w:szCs w:val="21"/>
          <w:highlight w:val="none"/>
        </w:rPr>
        <w:t>谋求特定供应商成交或者排斥其他供应商的其他串通行为。</w:t>
      </w:r>
    </w:p>
    <w:p>
      <w:pPr>
        <w:spacing w:line="360" w:lineRule="auto"/>
        <w:ind w:firstLine="480" w:firstLineChars="200"/>
        <w:rPr>
          <w:rFonts w:hint="eastAsia" w:ascii="宋体" w:hAnsi="宋体" w:cs="仿宋_GB2312"/>
          <w:color w:val="auto"/>
          <w:sz w:val="24"/>
          <w:highlight w:val="none"/>
        </w:rPr>
      </w:pPr>
    </w:p>
    <w:p>
      <w:pPr>
        <w:spacing w:line="360" w:lineRule="auto"/>
        <w:ind w:firstLine="421" w:firstLineChars="200"/>
        <w:rPr>
          <w:rFonts w:hint="eastAsia" w:ascii="宋体" w:hAnsi="宋体" w:cs="仿宋_GB2312"/>
          <w:b/>
          <w:bCs/>
          <w:color w:val="auto"/>
          <w:szCs w:val="21"/>
          <w:highlight w:val="none"/>
        </w:rPr>
      </w:pPr>
      <w:r>
        <w:rPr>
          <w:rFonts w:hint="eastAsia" w:ascii="宋体" w:hAnsi="宋体" w:cs="仿宋_GB2312"/>
          <w:b/>
          <w:bCs/>
          <w:color w:val="auto"/>
          <w:szCs w:val="21"/>
          <w:highlight w:val="none"/>
        </w:rPr>
        <w:t>以上情形一经核查属实，我方愿意承担一切后果，并不再寻求任何旨在减轻或者免除法律责任的辩解。</w:t>
      </w:r>
    </w:p>
    <w:p>
      <w:pPr>
        <w:spacing w:line="360" w:lineRule="auto"/>
        <w:rPr>
          <w:rFonts w:hint="eastAsia" w:ascii="宋体" w:hAnsi="宋体" w:cs="仿宋_GB2312"/>
          <w:color w:val="auto"/>
          <w:sz w:val="24"/>
          <w:highlight w:val="none"/>
        </w:rPr>
      </w:pPr>
    </w:p>
    <w:p>
      <w:pPr>
        <w:spacing w:line="36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rPr>
        <w:t>供应商[公章（CA签章）]：</w:t>
      </w:r>
    </w:p>
    <w:p>
      <w:pPr>
        <w:spacing w:line="360" w:lineRule="auto"/>
        <w:ind w:firstLine="420" w:firstLineChars="200"/>
        <w:jc w:val="center"/>
        <w:rPr>
          <w:rFonts w:hint="eastAsia" w:ascii="仿宋_GB2312" w:hAnsi="仿宋_GB2312" w:eastAsia="仿宋_GB2312" w:cs="仿宋_GB2312"/>
          <w:color w:val="auto"/>
          <w:szCs w:val="21"/>
          <w:highlight w:val="none"/>
        </w:rPr>
      </w:pPr>
      <w:r>
        <w:rPr>
          <w:rFonts w:hint="eastAsia" w:ascii="宋体" w:hAnsi="宋体" w:cs="仿宋_GB2312"/>
          <w:color w:val="auto"/>
          <w:szCs w:val="21"/>
          <w:highlight w:val="none"/>
        </w:rPr>
        <w:t>日期：    年   月   日</w:t>
      </w:r>
    </w:p>
    <w:p>
      <w:pPr>
        <w:spacing w:line="520" w:lineRule="exact"/>
        <w:jc w:val="center"/>
        <w:rPr>
          <w:rFonts w:hint="eastAsia" w:ascii="方正小标宋简体" w:hAnsi="方正小标宋简体" w:eastAsia="方正小标宋简体" w:cs="方正小标宋简体"/>
          <w:bCs/>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ascii="宋体" w:hAnsi="宋体" w:cs="宋体"/>
          <w:b/>
          <w:color w:val="auto"/>
          <w:sz w:val="28"/>
          <w:szCs w:val="28"/>
          <w:highlight w:val="none"/>
        </w:rPr>
        <w:t>竞标</w:t>
      </w:r>
      <w:r>
        <w:rPr>
          <w:rFonts w:hint="eastAsia" w:ascii="宋体" w:hAnsi="宋体" w:cs="宋体"/>
          <w:b/>
          <w:color w:val="auto"/>
          <w:sz w:val="28"/>
          <w:szCs w:val="28"/>
          <w:highlight w:val="none"/>
        </w:rPr>
        <w:t>报价表</w:t>
      </w:r>
    </w:p>
    <w:p>
      <w:pPr>
        <w:spacing w:line="440" w:lineRule="exact"/>
        <w:jc w:val="center"/>
        <w:rPr>
          <w:rFonts w:hint="eastAsia" w:ascii="方正小标宋简体" w:hAnsi="方正小标宋简体" w:eastAsia="方正小标宋简体" w:cs="方正小标宋简体"/>
          <w:bCs/>
          <w:color w:val="auto"/>
          <w:sz w:val="32"/>
          <w:szCs w:val="32"/>
          <w:highlight w:val="none"/>
        </w:rPr>
      </w:pPr>
    </w:p>
    <w:p>
      <w:pPr>
        <w:snapToGrid w:val="0"/>
        <w:spacing w:before="50" w:after="50"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项目名称：</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项目编号：</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 xml:space="preserve"> </w:t>
      </w:r>
    </w:p>
    <w:p>
      <w:pPr>
        <w:spacing w:line="360" w:lineRule="auto"/>
        <w:jc w:val="left"/>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 xml:space="preserve">              单位：元</w:t>
      </w:r>
    </w:p>
    <w:tbl>
      <w:tblPr>
        <w:tblStyle w:val="32"/>
        <w:tblW w:w="93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2155"/>
        <w:gridCol w:w="1712"/>
        <w:gridCol w:w="909"/>
        <w:gridCol w:w="658"/>
        <w:gridCol w:w="762"/>
        <w:gridCol w:w="1457"/>
        <w:gridCol w:w="8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Cs w:val="21"/>
                <w:highlight w:val="none"/>
              </w:rPr>
            </w:pPr>
            <w:r>
              <w:rPr>
                <w:rFonts w:hint="eastAsia"/>
                <w:color w:val="auto"/>
                <w:szCs w:val="21"/>
                <w:highlight w:val="none"/>
              </w:rPr>
              <w:t>序号</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color w:val="auto"/>
                <w:szCs w:val="21"/>
                <w:highlight w:val="none"/>
              </w:rPr>
            </w:pPr>
            <w:r>
              <w:rPr>
                <w:rFonts w:hint="eastAsia"/>
                <w:color w:val="auto"/>
                <w:szCs w:val="21"/>
                <w:highlight w:val="none"/>
              </w:rPr>
              <w:t>项目名称</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hAnsi="宋体"/>
                <w:color w:val="auto"/>
                <w:highlight w:val="none"/>
              </w:rPr>
            </w:pPr>
            <w:r>
              <w:rPr>
                <w:rFonts w:hint="eastAsia" w:hAnsi="宋体"/>
                <w:color w:val="auto"/>
                <w:highlight w:val="none"/>
              </w:rPr>
              <w:t>服务承诺内容</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hAnsi="宋体"/>
                <w:color w:val="auto"/>
                <w:highlight w:val="none"/>
              </w:rPr>
            </w:pPr>
            <w:r>
              <w:rPr>
                <w:rFonts w:hint="eastAsia" w:hAnsi="宋体"/>
                <w:color w:val="auto"/>
                <w:highlight w:val="none"/>
              </w:rPr>
              <w:t>数量①</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hAnsi="宋体"/>
                <w:color w:val="auto"/>
                <w:highlight w:val="none"/>
              </w:rPr>
            </w:pPr>
            <w:r>
              <w:rPr>
                <w:rFonts w:hint="eastAsia" w:hAnsi="宋体"/>
                <w:color w:val="auto"/>
                <w:highlight w:val="none"/>
              </w:rPr>
              <w:t>单位</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hAnsi="宋体"/>
                <w:color w:val="auto"/>
                <w:highlight w:val="none"/>
              </w:rPr>
            </w:pPr>
            <w:r>
              <w:rPr>
                <w:rFonts w:hint="eastAsia" w:hAnsi="宋体"/>
                <w:color w:val="auto"/>
                <w:highlight w:val="none"/>
              </w:rPr>
              <w:t>单价②</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hAnsi="宋体"/>
                <w:color w:val="auto"/>
                <w:highlight w:val="none"/>
              </w:rPr>
            </w:pPr>
            <w:r>
              <w:rPr>
                <w:rFonts w:hint="eastAsia" w:hAnsi="宋体"/>
                <w:color w:val="auto"/>
                <w:highlight w:val="none"/>
              </w:rPr>
              <w:t>单项合计=数量×单价</w:t>
            </w:r>
          </w:p>
          <w:p>
            <w:pPr>
              <w:spacing w:line="440" w:lineRule="exact"/>
              <w:jc w:val="center"/>
              <w:rPr>
                <w:rFonts w:hint="eastAsia" w:hAnsi="宋体"/>
                <w:color w:val="auto"/>
                <w:highlight w:val="none"/>
              </w:rPr>
            </w:pPr>
            <w:r>
              <w:rPr>
                <w:rFonts w:hint="eastAsia" w:ascii="宋体" w:hAnsi="宋体"/>
                <w:color w:val="auto"/>
                <w:szCs w:val="21"/>
                <w:highlight w:val="none"/>
              </w:rPr>
              <w:t>③＝①×②</w:t>
            </w:r>
          </w:p>
        </w:tc>
        <w:tc>
          <w:tcPr>
            <w:tcW w:w="820"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color w:val="auto"/>
                <w:highlight w:val="none"/>
              </w:rPr>
            </w:pPr>
            <w:r>
              <w:rPr>
                <w:rFonts w:hint="eastAsia"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olor w:val="auto"/>
                <w:highlight w:val="none"/>
              </w:rPr>
            </w:pPr>
            <w:r>
              <w:rPr>
                <w:rFonts w:hint="eastAsia" w:ascii="宋体" w:hAnsi="宋体"/>
                <w:color w:val="auto"/>
                <w:highlight w:val="none"/>
              </w:rPr>
              <w:t>1</w:t>
            </w:r>
          </w:p>
        </w:tc>
        <w:tc>
          <w:tcPr>
            <w:tcW w:w="20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olor w:val="auto"/>
                <w:highlight w:val="none"/>
                <w:shd w:val="clear" w:color="FFFFFF" w:fill="D9D9D9"/>
              </w:rPr>
            </w:pPr>
            <w:r>
              <w:rPr>
                <w:rFonts w:hint="eastAsia" w:ascii="宋体" w:hAnsi="宋体" w:cs="宋体"/>
                <w:color w:val="auto"/>
                <w:szCs w:val="21"/>
                <w:highlight w:val="none"/>
              </w:rPr>
              <w:t>重点敏感案件监测及法律服务项目</w:t>
            </w:r>
          </w:p>
        </w:tc>
        <w:tc>
          <w:tcPr>
            <w:tcW w:w="1639" w:type="dxa"/>
            <w:tcBorders>
              <w:top w:val="single" w:color="auto" w:sz="4" w:space="0"/>
              <w:left w:val="single" w:color="auto" w:sz="4" w:space="0"/>
              <w:right w:val="single" w:color="auto" w:sz="4" w:space="0"/>
            </w:tcBorders>
            <w:noWrap w:val="0"/>
            <w:vAlign w:val="center"/>
          </w:tcPr>
          <w:p>
            <w:pPr>
              <w:spacing w:line="440" w:lineRule="exact"/>
              <w:jc w:val="center"/>
              <w:rPr>
                <w:rFonts w:hint="eastAsia" w:hAnsi="宋体"/>
                <w:color w:val="auto"/>
                <w:highlight w:val="none"/>
              </w:rPr>
            </w:pPr>
            <w:r>
              <w:rPr>
                <w:rFonts w:hint="eastAsia" w:ascii="宋体" w:hAnsi="宋体" w:cs="宋体"/>
                <w:color w:val="auto"/>
                <w:szCs w:val="21"/>
                <w:highlight w:val="none"/>
              </w:rPr>
              <w:t>按照《采购文件》第三章</w:t>
            </w:r>
            <w:r>
              <w:rPr>
                <w:rFonts w:hAnsi="宋体" w:cs="宋体"/>
                <w:color w:val="auto"/>
                <w:szCs w:val="21"/>
                <w:highlight w:val="none"/>
              </w:rPr>
              <w:t>“</w:t>
            </w:r>
            <w:r>
              <w:rPr>
                <w:rFonts w:hint="eastAsia" w:ascii="宋体" w:hAnsi="宋体" w:cs="宋体"/>
                <w:color w:val="auto"/>
                <w:szCs w:val="21"/>
                <w:highlight w:val="none"/>
              </w:rPr>
              <w:t>采购需求</w:t>
            </w:r>
            <w:r>
              <w:rPr>
                <w:rFonts w:hAnsi="宋体" w:cs="宋体"/>
                <w:color w:val="auto"/>
                <w:szCs w:val="21"/>
                <w:highlight w:val="none"/>
              </w:rPr>
              <w:t>”</w:t>
            </w:r>
            <w:r>
              <w:rPr>
                <w:rFonts w:ascii="宋体" w:hAnsi="宋体" w:cs="宋体"/>
                <w:color w:val="auto"/>
                <w:szCs w:val="21"/>
                <w:highlight w:val="none"/>
              </w:rPr>
              <w:t>及《</w:t>
            </w:r>
            <w:r>
              <w:rPr>
                <w:rFonts w:hint="eastAsia" w:ascii="宋体" w:hAnsi="宋体" w:cs="宋体"/>
                <w:color w:val="auto"/>
                <w:szCs w:val="21"/>
                <w:highlight w:val="none"/>
              </w:rPr>
              <w:t>采购</w:t>
            </w:r>
            <w:r>
              <w:rPr>
                <w:rFonts w:ascii="宋体" w:hAnsi="宋体" w:cs="宋体"/>
                <w:color w:val="auto"/>
                <w:szCs w:val="21"/>
                <w:highlight w:val="none"/>
              </w:rPr>
              <w:t>合同》等相关要求</w:t>
            </w:r>
            <w:r>
              <w:rPr>
                <w:rFonts w:hint="eastAsia" w:ascii="宋体" w:hAnsi="宋体" w:cs="宋体"/>
                <w:color w:val="auto"/>
                <w:szCs w:val="21"/>
                <w:highlight w:val="none"/>
              </w:rPr>
              <w:t>完成本项目的服务工作</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Arial"/>
                <w:color w:val="auto"/>
                <w:kern w:val="0"/>
                <w:szCs w:val="21"/>
                <w:highlight w:val="none"/>
                <w:lang w:val="zh-CN"/>
              </w:rPr>
            </w:pPr>
            <w:r>
              <w:rPr>
                <w:rFonts w:hint="eastAsia" w:ascii="宋体" w:hAnsi="宋体" w:cs="Arial"/>
                <w:color w:val="auto"/>
                <w:kern w:val="0"/>
                <w:szCs w:val="21"/>
                <w:highlight w:val="none"/>
                <w:lang w:val="zh-CN"/>
              </w:rPr>
              <w:t>1</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Cs/>
                <w:color w:val="auto"/>
                <w:highlight w:val="none"/>
              </w:rPr>
            </w:pPr>
            <w:r>
              <w:rPr>
                <w:rFonts w:hint="eastAsia"/>
                <w:bCs/>
                <w:color w:val="auto"/>
                <w:highlight w:val="none"/>
              </w:rPr>
              <w:t>项</w:t>
            </w:r>
          </w:p>
        </w:tc>
        <w:tc>
          <w:tcPr>
            <w:tcW w:w="7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Cs w:val="21"/>
                <w:highlight w:val="none"/>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b/>
                <w:bCs/>
                <w:color w:val="auto"/>
                <w:highlight w:val="none"/>
              </w:rPr>
            </w:pPr>
          </w:p>
        </w:tc>
        <w:tc>
          <w:tcPr>
            <w:tcW w:w="820" w:type="dxa"/>
            <w:tcBorders>
              <w:top w:val="single" w:color="auto" w:sz="4" w:space="0"/>
              <w:left w:val="single" w:color="auto" w:sz="4" w:space="0"/>
              <w:bottom w:val="single" w:color="auto" w:sz="4" w:space="0"/>
            </w:tcBorders>
            <w:noWrap w:val="0"/>
            <w:vAlign w:val="center"/>
          </w:tcPr>
          <w:p>
            <w:pPr>
              <w:spacing w:line="440" w:lineRule="exact"/>
              <w:jc w:val="center"/>
              <w:rPr>
                <w:rFonts w:hint="eastAsia" w:ascii="宋体" w:hAnsi="宋体"/>
                <w:b/>
                <w:bCs/>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45" w:type="dxa"/>
            <w:gridSpan w:val="8"/>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b/>
                <w:bCs/>
                <w:color w:val="auto"/>
                <w:highlight w:val="none"/>
              </w:rPr>
            </w:pPr>
            <w:r>
              <w:rPr>
                <w:rFonts w:ascii="宋体" w:hAnsi="宋体" w:cs="宋体"/>
                <w:color w:val="auto"/>
                <w:szCs w:val="21"/>
                <w:highlight w:val="none"/>
              </w:rPr>
              <w:t>竞标</w:t>
            </w:r>
            <w:r>
              <w:rPr>
                <w:rFonts w:hint="eastAsia" w:ascii="宋体" w:hAnsi="宋体" w:cs="宋体"/>
                <w:color w:val="auto"/>
                <w:szCs w:val="21"/>
                <w:highlight w:val="none"/>
              </w:rPr>
              <w:t>总报价</w:t>
            </w:r>
            <w:r>
              <w:rPr>
                <w:rFonts w:ascii="宋体" w:hAnsi="宋体"/>
                <w:color w:val="auto"/>
                <w:spacing w:val="-6"/>
                <w:highlight w:val="none"/>
              </w:rPr>
              <w:t xml:space="preserve">（大写）：            </w:t>
            </w:r>
            <w:r>
              <w:rPr>
                <w:rFonts w:hint="eastAsia" w:ascii="宋体" w:hAnsi="宋体"/>
                <w:color w:val="auto"/>
                <w:spacing w:val="-6"/>
                <w:highlight w:val="none"/>
              </w:rPr>
              <w:t>元</w:t>
            </w:r>
            <w:r>
              <w:rPr>
                <w:rFonts w:ascii="宋体" w:hAnsi="宋体"/>
                <w:color w:val="auto"/>
                <w:spacing w:val="-6"/>
                <w:highlight w:val="none"/>
              </w:rPr>
              <w:t>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8945" w:type="dxa"/>
            <w:gridSpan w:val="8"/>
            <w:tcBorders>
              <w:top w:val="single" w:color="auto" w:sz="4" w:space="0"/>
              <w:left w:val="single" w:color="auto" w:sz="4" w:space="0"/>
              <w:bottom w:val="single" w:color="auto" w:sz="4" w:space="0"/>
            </w:tcBorders>
            <w:noWrap w:val="0"/>
            <w:vAlign w:val="center"/>
          </w:tcPr>
          <w:p>
            <w:pPr>
              <w:spacing w:line="440" w:lineRule="exact"/>
              <w:rPr>
                <w:rFonts w:hint="eastAsia" w:ascii="宋体" w:hAnsi="宋体"/>
                <w:color w:val="auto"/>
                <w:spacing w:val="-6"/>
                <w:highlight w:val="none"/>
              </w:rPr>
            </w:pPr>
            <w:r>
              <w:rPr>
                <w:rFonts w:hint="eastAsia" w:ascii="宋体" w:hAnsi="宋体"/>
                <w:color w:val="auto"/>
                <w:spacing w:val="-6"/>
                <w:highlight w:val="none"/>
              </w:rPr>
              <w:t>服务期:</w:t>
            </w:r>
          </w:p>
        </w:tc>
      </w:tr>
    </w:tbl>
    <w:p>
      <w:pPr>
        <w:tabs>
          <w:tab w:val="left" w:pos="1305"/>
        </w:tabs>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w:t>
      </w:r>
      <w:r>
        <w:rPr>
          <w:rFonts w:hint="eastAsia" w:ascii="宋体" w:hAnsi="宋体" w:cs="宋体"/>
          <w:b/>
          <w:bCs/>
          <w:color w:val="auto"/>
          <w:szCs w:val="21"/>
          <w:highlight w:val="none"/>
        </w:rPr>
        <w:t>：</w:t>
      </w:r>
      <w:r>
        <w:rPr>
          <w:rFonts w:hint="eastAsia" w:ascii="宋体" w:hAnsi="宋体" w:cs="宋体"/>
          <w:bCs/>
          <w:color w:val="auto"/>
          <w:szCs w:val="21"/>
          <w:highlight w:val="none"/>
        </w:rPr>
        <w:t>1.各供应商</w:t>
      </w:r>
      <w:r>
        <w:rPr>
          <w:rFonts w:hint="eastAsia" w:ascii="宋体" w:hAnsi="宋体" w:cs="宋体"/>
          <w:color w:val="auto"/>
          <w:szCs w:val="21"/>
          <w:highlight w:val="none"/>
        </w:rPr>
        <w:t>必须就“采购需求”中所投分标的所有内容作完整唯一报价，否则，其投标将被拒绝。响应文件只允许有一个报价。</w:t>
      </w:r>
    </w:p>
    <w:p>
      <w:pPr>
        <w:pStyle w:val="20"/>
        <w:spacing w:line="360" w:lineRule="auto"/>
        <w:ind w:firstLine="420" w:firstLineChars="200"/>
        <w:rPr>
          <w:rFonts w:hint="eastAsia" w:hAnsi="宋体" w:cs="宋体"/>
          <w:color w:val="auto"/>
          <w:kern w:val="2"/>
          <w:sz w:val="21"/>
          <w:highlight w:val="none"/>
        </w:rPr>
      </w:pPr>
      <w:r>
        <w:rPr>
          <w:rFonts w:hint="eastAsia" w:hAnsi="宋体" w:cs="宋体"/>
          <w:color w:val="auto"/>
          <w:kern w:val="2"/>
          <w:sz w:val="21"/>
          <w:highlight w:val="none"/>
        </w:rPr>
        <w:t>2.</w:t>
      </w:r>
      <w:r>
        <w:rPr>
          <w:rFonts w:hint="eastAsia" w:hAnsi="宋体" w:cs="宋体"/>
          <w:bCs/>
          <w:color w:val="auto"/>
          <w:highlight w:val="none"/>
        </w:rPr>
        <w:t>供应商</w:t>
      </w:r>
      <w:r>
        <w:rPr>
          <w:rFonts w:hint="eastAsia" w:hAnsi="宋体" w:cs="宋体"/>
          <w:color w:val="auto"/>
          <w:kern w:val="2"/>
          <w:sz w:val="21"/>
          <w:highlight w:val="none"/>
        </w:rPr>
        <w:t>应根据所投项目如实填写竞标报价表的各项内容。</w:t>
      </w:r>
    </w:p>
    <w:p>
      <w:pPr>
        <w:spacing w:line="360" w:lineRule="auto"/>
        <w:ind w:firstLine="420" w:firstLineChars="200"/>
        <w:rPr>
          <w:rFonts w:hint="eastAsia" w:ascii="宋体" w:hAnsi="宋体" w:cs="宋体"/>
          <w:b/>
          <w:bCs/>
          <w:color w:val="auto"/>
          <w:sz w:val="32"/>
          <w:szCs w:val="32"/>
          <w:highlight w:val="none"/>
        </w:rPr>
      </w:pPr>
      <w:r>
        <w:rPr>
          <w:rFonts w:hint="eastAsia" w:ascii="宋体" w:hAnsi="宋体" w:cs="宋体"/>
          <w:color w:val="auto"/>
          <w:szCs w:val="21"/>
          <w:highlight w:val="none"/>
        </w:rPr>
        <w:t>3.竞</w:t>
      </w:r>
      <w:r>
        <w:rPr>
          <w:rFonts w:hint="eastAsia" w:ascii="宋体" w:hAnsi="宋体" w:cs="宋体"/>
          <w:color w:val="auto"/>
          <w:highlight w:val="none"/>
        </w:rPr>
        <w:t>标报价表须由法定代表人负责人（或相应的委托代理人）签字或个人CA签章，并加盖供应商CA签章。</w:t>
      </w:r>
      <w:r>
        <w:rPr>
          <w:rFonts w:hint="eastAsia" w:ascii="宋体" w:hAnsi="宋体" w:cs="宋体"/>
          <w:b/>
          <w:color w:val="auto"/>
          <w:highlight w:val="none"/>
        </w:rPr>
        <w:t>当本表由多页构成时，需逐页加盖供应商公章。</w:t>
      </w:r>
    </w:p>
    <w:p>
      <w:pPr>
        <w:wordWrap w:val="0"/>
        <w:snapToGrid w:val="0"/>
        <w:spacing w:before="156" w:beforeLines="50" w:line="360" w:lineRule="auto"/>
        <w:ind w:right="480" w:firstLine="420"/>
        <w:jc w:val="right"/>
        <w:rPr>
          <w:rFonts w:ascii="宋体" w:hAnsi="宋体" w:cs="宋体"/>
          <w:color w:val="auto"/>
          <w:szCs w:val="21"/>
          <w:highlight w:val="none"/>
        </w:rPr>
      </w:pPr>
      <w:r>
        <w:rPr>
          <w:rFonts w:hint="eastAsia" w:ascii="宋体" w:hAnsi="宋体" w:cs="宋体"/>
          <w:color w:val="auto"/>
          <w:szCs w:val="21"/>
          <w:highlight w:val="none"/>
        </w:rPr>
        <w:t>供应商[公章（CA签章）]：</w:t>
      </w:r>
      <w:r>
        <w:rPr>
          <w:rFonts w:hint="eastAsia" w:ascii="宋体" w:hAnsi="宋体" w:cs="宋体"/>
          <w:color w:val="auto"/>
          <w:szCs w:val="21"/>
          <w:highlight w:val="none"/>
          <w:u w:val="single"/>
        </w:rPr>
        <w:t xml:space="preserve">     </w:t>
      </w:r>
    </w:p>
    <w:p>
      <w:pPr>
        <w:wordWrap w:val="0"/>
        <w:snapToGrid w:val="0"/>
        <w:spacing w:before="156" w:beforeLines="50" w:line="360" w:lineRule="auto"/>
        <w:ind w:right="480" w:firstLine="420"/>
        <w:jc w:val="right"/>
        <w:rPr>
          <w:rFonts w:ascii="宋体" w:hAnsi="宋体" w:cs="宋体"/>
          <w:color w:val="auto"/>
          <w:szCs w:val="21"/>
          <w:highlight w:val="none"/>
        </w:rPr>
      </w:pPr>
      <w:r>
        <w:rPr>
          <w:rFonts w:hint="eastAsia" w:ascii="宋体" w:hAnsi="宋体" w:cs="宋体"/>
          <w:color w:val="auto"/>
          <w:szCs w:val="21"/>
          <w:highlight w:val="none"/>
        </w:rPr>
        <w:t xml:space="preserve">法定代表人（负责人）或授权代理人签字（或个人CA签章）： </w:t>
      </w:r>
      <w:r>
        <w:rPr>
          <w:rFonts w:hint="eastAsia" w:ascii="宋体" w:hAnsi="宋体" w:cs="宋体"/>
          <w:color w:val="auto"/>
          <w:szCs w:val="21"/>
          <w:highlight w:val="none"/>
          <w:u w:val="single"/>
        </w:rPr>
        <w:t xml:space="preserve">      </w:t>
      </w:r>
    </w:p>
    <w:p>
      <w:pPr>
        <w:spacing w:line="440" w:lineRule="exact"/>
        <w:ind w:firstLine="3570" w:firstLineChars="1700"/>
        <w:contextualSpacing/>
        <w:jc w:val="right"/>
        <w:rPr>
          <w:rFonts w:hint="eastAsia" w:ascii="仿宋_GB2312" w:hAnsi="仿宋_GB2312" w:eastAsia="仿宋_GB2312" w:cs="仿宋_GB2312"/>
          <w:b/>
          <w:color w:val="auto"/>
          <w:szCs w:val="21"/>
          <w:highlight w:val="none"/>
        </w:rPr>
      </w:pPr>
      <w:r>
        <w:rPr>
          <w:rFonts w:hint="eastAsia" w:ascii="宋体" w:hAnsi="宋体" w:cs="仿宋_GB2312"/>
          <w:color w:val="auto"/>
          <w:szCs w:val="21"/>
          <w:highlight w:val="none"/>
        </w:rPr>
        <w:t>日期：   年   月   日</w:t>
      </w:r>
    </w:p>
    <w:p>
      <w:pPr>
        <w:spacing w:before="312" w:beforeLines="100" w:after="156" w:afterLines="50" w:line="520" w:lineRule="exact"/>
        <w:ind w:left="540"/>
        <w:jc w:val="center"/>
        <w:rPr>
          <w:rFonts w:hint="eastAsia" w:ascii="宋体" w:hAnsi="宋体" w:cs="宋体"/>
          <w:b/>
          <w:color w:val="auto"/>
          <w:sz w:val="28"/>
          <w:szCs w:val="28"/>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宋体" w:hAnsi="宋体" w:cs="宋体"/>
          <w:b/>
          <w:color w:val="auto"/>
          <w:sz w:val="28"/>
          <w:szCs w:val="28"/>
          <w:highlight w:val="none"/>
        </w:rPr>
        <w:t>法定代表人证明书</w:t>
      </w:r>
    </w:p>
    <w:p>
      <w:pPr>
        <w:spacing w:line="520" w:lineRule="exact"/>
        <w:ind w:left="540"/>
        <w:rPr>
          <w:rFonts w:hint="eastAsia" w:ascii="仿宋_GB2312" w:hAnsi="仿宋_GB2312" w:eastAsia="仿宋_GB2312" w:cs="仿宋_GB2312"/>
          <w:color w:val="auto"/>
          <w:sz w:val="32"/>
          <w:szCs w:val="32"/>
          <w:highlight w:val="none"/>
        </w:rPr>
      </w:pP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供应商名称：</w:t>
      </w:r>
      <w:r>
        <w:rPr>
          <w:rFonts w:hint="eastAsia" w:ascii="宋体" w:hAnsi="宋体" w:cs="仿宋_GB2312"/>
          <w:color w:val="auto"/>
          <w:szCs w:val="21"/>
          <w:highlight w:val="none"/>
          <w:u w:val="single"/>
        </w:rPr>
        <w:t xml:space="preserve">                                                        </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地    址：</w:t>
      </w:r>
      <w:r>
        <w:rPr>
          <w:rFonts w:hint="eastAsia" w:ascii="宋体" w:hAnsi="宋体" w:cs="仿宋_GB2312"/>
          <w:color w:val="auto"/>
          <w:szCs w:val="21"/>
          <w:highlight w:val="none"/>
          <w:u w:val="single"/>
        </w:rPr>
        <w:t xml:space="preserve">                                                        </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姓    名：</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性     别：</w:t>
      </w:r>
      <w:r>
        <w:rPr>
          <w:rFonts w:hint="eastAsia" w:ascii="宋体" w:hAnsi="宋体" w:cs="仿宋_GB2312"/>
          <w:color w:val="auto"/>
          <w:szCs w:val="21"/>
          <w:highlight w:val="none"/>
          <w:u w:val="single"/>
        </w:rPr>
        <w:t xml:space="preserve">                </w:t>
      </w:r>
    </w:p>
    <w:p>
      <w:pPr>
        <w:spacing w:line="360" w:lineRule="auto"/>
        <w:ind w:firstLine="420" w:firstLineChars="200"/>
        <w:rPr>
          <w:rFonts w:hint="eastAsia" w:ascii="宋体" w:hAnsi="宋体" w:cs="仿宋_GB2312"/>
          <w:color w:val="auto"/>
          <w:szCs w:val="21"/>
          <w:highlight w:val="none"/>
          <w:u w:val="single"/>
        </w:rPr>
      </w:pPr>
      <w:r>
        <w:rPr>
          <w:rFonts w:hint="eastAsia" w:ascii="宋体" w:hAnsi="宋体" w:cs="仿宋_GB2312"/>
          <w:color w:val="auto"/>
          <w:szCs w:val="21"/>
          <w:highlight w:val="none"/>
        </w:rPr>
        <w:t>年    龄：</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职     务：</w:t>
      </w:r>
      <w:r>
        <w:rPr>
          <w:rFonts w:hint="eastAsia" w:ascii="宋体" w:hAnsi="宋体" w:cs="仿宋_GB2312"/>
          <w:color w:val="auto"/>
          <w:szCs w:val="21"/>
          <w:highlight w:val="none"/>
          <w:u w:val="single"/>
        </w:rPr>
        <w:t xml:space="preserve">                </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身份证号码：</w:t>
      </w:r>
      <w:r>
        <w:rPr>
          <w:rFonts w:hint="eastAsia" w:ascii="宋体" w:hAnsi="宋体" w:cs="仿宋_GB2312"/>
          <w:color w:val="auto"/>
          <w:szCs w:val="21"/>
          <w:highlight w:val="none"/>
          <w:u w:val="single"/>
        </w:rPr>
        <w:t xml:space="preserve">                                        </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系</w:t>
      </w:r>
      <w:r>
        <w:rPr>
          <w:rFonts w:hint="eastAsia" w:ascii="宋体" w:hAnsi="宋体" w:cs="仿宋_GB2312"/>
          <w:color w:val="auto"/>
          <w:szCs w:val="21"/>
          <w:highlight w:val="none"/>
          <w:u w:val="single"/>
        </w:rPr>
        <w:t>（供应商名称）</w:t>
      </w:r>
      <w:r>
        <w:rPr>
          <w:rFonts w:hint="eastAsia" w:ascii="宋体" w:hAnsi="宋体" w:cs="仿宋_GB2312"/>
          <w:color w:val="auto"/>
          <w:szCs w:val="21"/>
          <w:highlight w:val="none"/>
        </w:rPr>
        <w:t>的法定代表人。</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特此证明。</w:t>
      </w:r>
    </w:p>
    <w:p>
      <w:pPr>
        <w:spacing w:line="360" w:lineRule="auto"/>
        <w:ind w:left="540"/>
        <w:rPr>
          <w:rFonts w:hint="eastAsia" w:ascii="宋体" w:hAnsi="宋体" w:cs="仿宋_GB2312"/>
          <w:color w:val="auto"/>
          <w:sz w:val="24"/>
          <w:highlight w:val="none"/>
        </w:rPr>
      </w:pPr>
    </w:p>
    <w:p>
      <w:pPr>
        <w:spacing w:line="360" w:lineRule="auto"/>
        <w:ind w:left="540"/>
        <w:rPr>
          <w:rFonts w:hint="eastAsia" w:ascii="宋体" w:hAnsi="宋体" w:cs="仿宋_GB2312"/>
          <w:color w:val="auto"/>
          <w:sz w:val="24"/>
          <w:highlight w:val="none"/>
        </w:rPr>
      </w:pPr>
    </w:p>
    <w:p>
      <w:pPr>
        <w:spacing w:line="360" w:lineRule="auto"/>
        <w:ind w:left="540"/>
        <w:rPr>
          <w:rFonts w:hint="eastAsia" w:ascii="宋体" w:hAnsi="宋体" w:cs="仿宋_GB2312"/>
          <w:color w:val="auto"/>
          <w:sz w:val="24"/>
          <w:highlight w:val="none"/>
        </w:rPr>
      </w:pPr>
    </w:p>
    <w:p>
      <w:pPr>
        <w:spacing w:line="360" w:lineRule="auto"/>
        <w:ind w:left="540"/>
        <w:rPr>
          <w:rFonts w:hint="eastAsia" w:ascii="宋体" w:hAnsi="宋体" w:cs="仿宋_GB2312"/>
          <w:color w:val="auto"/>
          <w:szCs w:val="21"/>
          <w:highlight w:val="none"/>
        </w:rPr>
      </w:pPr>
      <w:r>
        <w:rPr>
          <w:rFonts w:hint="eastAsia" w:ascii="宋体" w:hAnsi="宋体" w:cs="仿宋_GB2312"/>
          <w:color w:val="auto"/>
          <w:szCs w:val="21"/>
          <w:highlight w:val="none"/>
        </w:rPr>
        <w:t>附件：法定代表人有效身份证正反面</w:t>
      </w:r>
    </w:p>
    <w:p>
      <w:pPr>
        <w:spacing w:line="360" w:lineRule="auto"/>
        <w:ind w:left="540"/>
        <w:rPr>
          <w:rFonts w:hint="eastAsia" w:ascii="宋体" w:hAnsi="宋体" w:cs="仿宋_GB2312"/>
          <w:color w:val="auto"/>
          <w:sz w:val="24"/>
          <w:highlight w:val="none"/>
        </w:rPr>
      </w:pPr>
    </w:p>
    <w:p>
      <w:pPr>
        <w:spacing w:line="48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供应商[公章（CA签章）]：</w:t>
      </w:r>
    </w:p>
    <w:p>
      <w:pPr>
        <w:snapToGrid w:val="0"/>
        <w:spacing w:line="48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u w:val="single"/>
        </w:rPr>
        <w:t xml:space="preserve">日期：     </w:t>
      </w:r>
      <w:r>
        <w:rPr>
          <w:rFonts w:hint="eastAsia" w:ascii="宋体" w:hAnsi="宋体" w:cs="仿宋_GB2312"/>
          <w:color w:val="auto"/>
          <w:szCs w:val="21"/>
          <w:highlight w:val="none"/>
        </w:rPr>
        <w:t>年</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月</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日</w:t>
      </w:r>
    </w:p>
    <w:p>
      <w:pPr>
        <w:snapToGrid w:val="0"/>
        <w:spacing w:before="156" w:beforeLines="50" w:after="50" w:line="360" w:lineRule="auto"/>
        <w:jc w:val="center"/>
        <w:rPr>
          <w:rFonts w:hint="eastAsia" w:ascii="宋体" w:hAnsi="宋体" w:cs="仿宋_GB2312"/>
          <w:b/>
          <w:color w:val="auto"/>
          <w:sz w:val="24"/>
          <w:highlight w:val="none"/>
        </w:rPr>
      </w:pPr>
    </w:p>
    <w:p>
      <w:pPr>
        <w:snapToGrid w:val="0"/>
        <w:spacing w:before="156" w:beforeLines="50" w:after="50" w:line="360" w:lineRule="auto"/>
        <w:jc w:val="left"/>
        <w:rPr>
          <w:rFonts w:hint="eastAsia" w:ascii="宋体" w:hAnsi="宋体" w:cs="仿宋_GB2312"/>
          <w:color w:val="auto"/>
          <w:sz w:val="24"/>
          <w:highlight w:val="none"/>
        </w:rPr>
      </w:pPr>
    </w:p>
    <w:p>
      <w:pPr>
        <w:snapToGrid w:val="0"/>
        <w:spacing w:line="360" w:lineRule="auto"/>
        <w:jc w:val="left"/>
        <w:rPr>
          <w:rFonts w:hint="eastAsia" w:ascii="仿宋_GB2312" w:hAnsi="仿宋_GB2312" w:eastAsia="仿宋_GB2312" w:cs="仿宋_GB2312"/>
          <w:b/>
          <w:color w:val="auto"/>
          <w:szCs w:val="21"/>
          <w:highlight w:val="none"/>
        </w:rPr>
      </w:pPr>
      <w:r>
        <w:rPr>
          <w:rFonts w:hint="eastAsia" w:ascii="宋体" w:hAnsi="宋体" w:cs="仿宋_GB2312"/>
          <w:color w:val="auto"/>
          <w:szCs w:val="21"/>
          <w:highlight w:val="none"/>
        </w:rPr>
        <w:t>注：供应商为其他组织时，本磋商文件规定的法定代表人指负责人。本磋商文件所称负责人是指参加磋商的其他组织营业执照上的负责人。</w:t>
      </w:r>
    </w:p>
    <w:p>
      <w:pPr>
        <w:adjustRightInd w:val="0"/>
        <w:snapToGrid w:val="0"/>
        <w:spacing w:line="300" w:lineRule="auto"/>
        <w:jc w:val="left"/>
        <w:rPr>
          <w:rFonts w:hint="eastAsia" w:ascii="宋体" w:hAnsi="宋体"/>
          <w:b/>
          <w:color w:val="auto"/>
          <w:szCs w:val="21"/>
          <w:highlight w:val="none"/>
        </w:rPr>
      </w:pPr>
    </w:p>
    <w:p>
      <w:pPr>
        <w:spacing w:line="500" w:lineRule="exact"/>
        <w:jc w:val="center"/>
        <w:rPr>
          <w:rFonts w:hint="eastAsia" w:ascii="宋体" w:hAnsi="宋体" w:cs="宋体"/>
          <w:b/>
          <w:bCs/>
          <w:color w:val="auto"/>
          <w:sz w:val="28"/>
          <w:szCs w:val="28"/>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宋体" w:hAnsi="宋体" w:cs="宋体"/>
          <w:b/>
          <w:bCs/>
          <w:color w:val="auto"/>
          <w:sz w:val="28"/>
          <w:szCs w:val="28"/>
          <w:highlight w:val="none"/>
        </w:rPr>
        <w:t>法定代表人授权委托书（非联合体竞标格式）</w:t>
      </w:r>
    </w:p>
    <w:p>
      <w:pPr>
        <w:spacing w:line="52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（如有委托时）</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致：</w:t>
      </w:r>
      <w:r>
        <w:rPr>
          <w:rFonts w:hint="eastAsia" w:ascii="宋体" w:hAnsi="宋体" w:cs="仿宋_GB2312"/>
          <w:color w:val="auto"/>
          <w:szCs w:val="21"/>
          <w:highlight w:val="none"/>
          <w:u w:val="single"/>
        </w:rPr>
        <w:t>（采购人名称）</w:t>
      </w:r>
      <w:r>
        <w:rPr>
          <w:rFonts w:hint="eastAsia" w:ascii="宋体" w:hAnsi="宋体" w:cs="仿宋_GB2312"/>
          <w:color w:val="auto"/>
          <w:szCs w:val="21"/>
          <w:highlight w:val="none"/>
        </w:rPr>
        <w:t>：</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我</w:t>
      </w:r>
      <w:r>
        <w:rPr>
          <w:rFonts w:hint="eastAsia" w:ascii="宋体" w:hAnsi="宋体" w:cs="仿宋_GB2312"/>
          <w:color w:val="auto"/>
          <w:szCs w:val="21"/>
          <w:highlight w:val="none"/>
          <w:u w:val="single"/>
        </w:rPr>
        <w:t xml:space="preserve">  （姓名）  </w:t>
      </w:r>
      <w:r>
        <w:rPr>
          <w:rFonts w:hint="eastAsia" w:ascii="宋体" w:hAnsi="宋体" w:cs="仿宋_GB2312"/>
          <w:color w:val="auto"/>
          <w:szCs w:val="21"/>
          <w:highlight w:val="none"/>
        </w:rPr>
        <w:t>系</w:t>
      </w:r>
      <w:r>
        <w:rPr>
          <w:rFonts w:hint="eastAsia" w:ascii="宋体" w:hAnsi="宋体" w:cs="仿宋_GB2312"/>
          <w:color w:val="auto"/>
          <w:szCs w:val="21"/>
          <w:highlight w:val="none"/>
          <w:u w:val="single"/>
        </w:rPr>
        <w:t xml:space="preserve">  （供应商名称）  </w:t>
      </w:r>
      <w:r>
        <w:rPr>
          <w:rFonts w:hint="eastAsia" w:ascii="宋体" w:hAnsi="宋体" w:cs="仿宋_GB2312"/>
          <w:color w:val="auto"/>
          <w:szCs w:val="21"/>
          <w:highlight w:val="none"/>
        </w:rPr>
        <w:t>的（</w:t>
      </w:r>
      <w:r>
        <w:rPr>
          <w:rFonts w:hint="eastAsia" w:ascii="宋体" w:hAnsi="宋体" w:cs="仿宋_GB2312"/>
          <w:color w:val="auto"/>
          <w:szCs w:val="21"/>
          <w:highlight w:val="none"/>
          <w:u w:val="single"/>
        </w:rPr>
        <w:t>□法定代表人/□负责人/□自然人本人</w:t>
      </w:r>
      <w:r>
        <w:rPr>
          <w:rFonts w:hint="eastAsia" w:ascii="宋体" w:hAnsi="宋体" w:cs="仿宋_GB2312"/>
          <w:color w:val="auto"/>
          <w:szCs w:val="21"/>
          <w:highlight w:val="none"/>
        </w:rPr>
        <w:t>），现授权</w:t>
      </w:r>
      <w:r>
        <w:rPr>
          <w:rFonts w:hint="eastAsia" w:ascii="宋体" w:hAnsi="宋体" w:cs="仿宋_GB2312"/>
          <w:color w:val="auto"/>
          <w:szCs w:val="21"/>
          <w:highlight w:val="none"/>
          <w:u w:val="single"/>
        </w:rPr>
        <w:t xml:space="preserve"> （姓名） </w:t>
      </w:r>
      <w:r>
        <w:rPr>
          <w:rFonts w:hint="eastAsia" w:ascii="宋体" w:hAnsi="宋体" w:cs="仿宋_GB2312"/>
          <w:color w:val="auto"/>
          <w:szCs w:val="21"/>
          <w:highlight w:val="none"/>
        </w:rPr>
        <w:t>以我方的名义参加</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项目的竞标活动，并代表我方全权办理针对上述项目的所有采购程序和环节的具体事务和签署相关文件。</w:t>
      </w:r>
    </w:p>
    <w:p>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 xml:space="preserve">    我方对委托代理人的签字事项负全部责任。</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委托代理人无转委托权，特此委托。</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附：法定代表人身份证明书及委托代理人有效身份证正反面</w:t>
      </w:r>
    </w:p>
    <w:p>
      <w:pPr>
        <w:spacing w:line="360" w:lineRule="auto"/>
        <w:rPr>
          <w:rFonts w:hint="eastAsia" w:ascii="宋体" w:hAnsi="宋体" w:cs="仿宋_GB2312"/>
          <w:color w:val="auto"/>
          <w:sz w:val="24"/>
          <w:highlight w:val="none"/>
        </w:rPr>
      </w:pP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委托代理人（签字）（或个人CA签章）： </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法定代表人（签字）（或个人CA签章）：</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委托代理人身份证号码：</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供应商[公章（CA签章）]：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p>
      <w:pPr>
        <w:spacing w:line="360" w:lineRule="auto"/>
        <w:rPr>
          <w:rFonts w:hint="eastAsia" w:ascii="宋体" w:hAnsi="宋体" w:cs="仿宋_GB2312"/>
          <w:color w:val="auto"/>
          <w:sz w:val="24"/>
          <w:highlight w:val="none"/>
        </w:rPr>
      </w:pPr>
    </w:p>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w:t>
      </w:r>
    </w:p>
    <w:p>
      <w:pPr>
        <w:spacing w:line="360" w:lineRule="auto"/>
        <w:ind w:firstLine="420" w:firstLineChars="200"/>
        <w:jc w:val="left"/>
        <w:rPr>
          <w:rFonts w:ascii="仿宋_GB2312" w:hAnsi="仿宋_GB2312" w:eastAsia="仿宋_GB2312" w:cs="仿宋_GB2312"/>
          <w:color w:val="auto"/>
          <w:szCs w:val="21"/>
          <w:highlight w:val="none"/>
        </w:rPr>
      </w:pPr>
      <w:r>
        <w:rPr>
          <w:rFonts w:hint="eastAsia" w:ascii="宋体" w:hAnsi="宋体" w:cs="仿宋_GB2312"/>
          <w:color w:val="auto"/>
          <w:szCs w:val="21"/>
          <w:highlight w:val="none"/>
        </w:rPr>
        <w:t>供应商为其他组织时，本磋商文件规定的法定代表人指负责人。本磋商文件所称负责人是指参加磋商的其他组织营业执照上的负责人。</w:t>
      </w:r>
    </w:p>
    <w:p>
      <w:pPr>
        <w:spacing w:line="500" w:lineRule="exact"/>
        <w:jc w:val="center"/>
        <w:rPr>
          <w:rFonts w:hint="eastAsia" w:ascii="宋体" w:hAnsi="宋体" w:cs="宋体"/>
          <w:b/>
          <w:bCs/>
          <w:color w:val="auto"/>
          <w:sz w:val="28"/>
          <w:szCs w:val="28"/>
          <w:highlight w:val="none"/>
        </w:rPr>
      </w:pPr>
      <w:r>
        <w:rPr>
          <w:rFonts w:ascii="仿宋_GB2312" w:hAnsi="仿宋_GB2312" w:eastAsia="仿宋_GB2312" w:cs="仿宋_GB2312"/>
          <w:color w:val="auto"/>
          <w:szCs w:val="21"/>
          <w:highlight w:val="none"/>
        </w:rPr>
        <w:br w:type="page"/>
      </w:r>
      <w:r>
        <w:rPr>
          <w:rFonts w:hint="eastAsia" w:ascii="宋体" w:hAnsi="宋体" w:cs="宋体"/>
          <w:b/>
          <w:bCs/>
          <w:color w:val="auto"/>
          <w:sz w:val="28"/>
          <w:szCs w:val="28"/>
          <w:highlight w:val="none"/>
        </w:rPr>
        <w:t>法定代表人授权委托书（联合体竞标格式）</w:t>
      </w:r>
    </w:p>
    <w:p>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（如有委托时）</w:t>
      </w:r>
    </w:p>
    <w:p>
      <w:pPr>
        <w:spacing w:line="500" w:lineRule="exact"/>
        <w:jc w:val="center"/>
        <w:rPr>
          <w:rFonts w:ascii="方正小标宋简体" w:hAnsi="方正小标宋简体" w:eastAsia="方正小标宋简体" w:cs="方正小标宋简体"/>
          <w:color w:val="auto"/>
          <w:sz w:val="44"/>
          <w:szCs w:val="44"/>
          <w:highlight w:val="none"/>
        </w:rPr>
      </w:pPr>
    </w:p>
    <w:p>
      <w:pPr>
        <w:spacing w:line="500" w:lineRule="exact"/>
        <w:jc w:val="center"/>
        <w:rPr>
          <w:rFonts w:hint="eastAsia" w:ascii="仿宋_GB2312" w:hAnsi="仿宋_GB2312" w:eastAsia="仿宋_GB2312" w:cs="仿宋_GB2312"/>
          <w:color w:val="auto"/>
          <w:sz w:val="32"/>
          <w:szCs w:val="32"/>
          <w:highlight w:val="none"/>
        </w:rPr>
      </w:pPr>
    </w:p>
    <w:p>
      <w:pPr>
        <w:spacing w:line="360" w:lineRule="auto"/>
        <w:ind w:firstLine="420" w:firstLineChars="200"/>
        <w:jc w:val="left"/>
        <w:rPr>
          <w:rFonts w:hint="eastAsia" w:ascii="宋体" w:hAnsi="宋体" w:cs="仿宋_GB2312"/>
          <w:color w:val="auto"/>
          <w:szCs w:val="21"/>
          <w:highlight w:val="none"/>
        </w:rPr>
      </w:pPr>
      <w:r>
        <w:rPr>
          <w:rFonts w:hint="eastAsia" w:ascii="宋体" w:hAnsi="宋体" w:cs="仿宋_GB2312"/>
          <w:color w:val="auto"/>
          <w:szCs w:val="21"/>
          <w:highlight w:val="none"/>
        </w:rPr>
        <w:t>本授权委托书声明：根据</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（牵头人名称）与</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（联合体其他成员名称）签订的《联合体竞标协议书》的内容，</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（牵头人名称）的法定代表人</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（姓名）现授权</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（姓名）为联合委托代理人，并代表我方全权办理针对上述项目的所有采购程序和环节的具体事务和签署相关文件。</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我方对委托代理人的签字事项负全部责任。</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本授权书自签署之日起生效，在撤销授权的书面通知以前，本授权书一直有效。委托代理人在授权书有效期内签署的所有文件不因授权的撤销而失效。</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委托代理人无转委托权，特此委托。</w:t>
      </w: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附：法定代表人身份证明书及委托代理人有效身份证正反面</w:t>
      </w:r>
    </w:p>
    <w:p>
      <w:pPr>
        <w:spacing w:line="360" w:lineRule="auto"/>
        <w:ind w:firstLine="420" w:firstLineChars="200"/>
        <w:rPr>
          <w:rFonts w:hint="eastAsia" w:ascii="宋体" w:hAnsi="宋体" w:cs="仿宋_GB2312"/>
          <w:color w:val="auto"/>
          <w:szCs w:val="21"/>
          <w:highlight w:val="none"/>
        </w:rPr>
      </w:pPr>
    </w:p>
    <w:p>
      <w:pPr>
        <w:spacing w:line="360" w:lineRule="auto"/>
        <w:ind w:firstLine="420" w:firstLineChars="200"/>
        <w:rPr>
          <w:rFonts w:hint="eastAsia" w:ascii="宋体" w:hAnsi="宋体" w:cs="仿宋_GB2312"/>
          <w:color w:val="auto"/>
          <w:szCs w:val="21"/>
          <w:highlight w:val="none"/>
        </w:rPr>
      </w:pP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牵头人法定代表人（签字或盖章）：</w:t>
      </w:r>
    </w:p>
    <w:p>
      <w:pPr>
        <w:spacing w:line="360" w:lineRule="auto"/>
        <w:ind w:firstLine="2730" w:firstLineChars="1300"/>
        <w:rPr>
          <w:rFonts w:hint="eastAsia" w:ascii="宋体" w:hAnsi="宋体" w:cs="仿宋_GB2312"/>
          <w:color w:val="auto"/>
          <w:szCs w:val="21"/>
          <w:highlight w:val="none"/>
        </w:rPr>
      </w:pPr>
      <w:r>
        <w:rPr>
          <w:rFonts w:hint="eastAsia" w:ascii="宋体" w:hAnsi="宋体" w:cs="仿宋_GB2312"/>
          <w:color w:val="auto"/>
          <w:szCs w:val="21"/>
          <w:highlight w:val="none"/>
        </w:rPr>
        <w:t>牵头人（盖公章）：</w:t>
      </w:r>
    </w:p>
    <w:p>
      <w:pPr>
        <w:spacing w:line="360" w:lineRule="auto"/>
        <w:ind w:firstLine="3360" w:firstLineChars="1600"/>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pPr>
        <w:spacing w:line="360" w:lineRule="auto"/>
        <w:rPr>
          <w:rFonts w:hint="eastAsia" w:ascii="宋体" w:hAnsi="宋体" w:cs="仿宋_GB2312"/>
          <w:color w:val="auto"/>
          <w:szCs w:val="21"/>
          <w:highlight w:val="none"/>
        </w:rPr>
      </w:pPr>
    </w:p>
    <w:p>
      <w:pPr>
        <w:spacing w:line="360" w:lineRule="auto"/>
        <w:ind w:firstLine="2730" w:firstLineChars="1300"/>
        <w:rPr>
          <w:rFonts w:hint="eastAsia" w:ascii="宋体" w:hAnsi="宋体" w:cs="仿宋_GB2312"/>
          <w:color w:val="auto"/>
          <w:szCs w:val="21"/>
          <w:highlight w:val="none"/>
        </w:rPr>
      </w:pPr>
      <w:r>
        <w:rPr>
          <w:rFonts w:hint="eastAsia" w:ascii="宋体" w:hAnsi="宋体" w:cs="仿宋_GB2312"/>
          <w:color w:val="auto"/>
          <w:szCs w:val="21"/>
          <w:highlight w:val="none"/>
        </w:rPr>
        <w:t>被授权人（签字或盖章）：</w:t>
      </w:r>
    </w:p>
    <w:p>
      <w:pPr>
        <w:spacing w:line="360" w:lineRule="auto"/>
        <w:ind w:firstLine="3360" w:firstLineChars="1600"/>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pPr>
        <w:spacing w:line="360" w:lineRule="auto"/>
        <w:rPr>
          <w:rFonts w:hint="eastAsia" w:ascii="宋体" w:hAnsi="宋体" w:cs="仿宋_GB2312"/>
          <w:color w:val="auto"/>
          <w:szCs w:val="21"/>
          <w:highlight w:val="none"/>
        </w:rPr>
      </w:pPr>
    </w:p>
    <w:p>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注：</w:t>
      </w:r>
    </w:p>
    <w:p>
      <w:pPr>
        <w:spacing w:line="360" w:lineRule="auto"/>
        <w:ind w:firstLine="420" w:firstLineChars="200"/>
        <w:jc w:val="left"/>
        <w:rPr>
          <w:rFonts w:ascii="宋体" w:hAnsi="宋体" w:cs="仿宋_GB2312"/>
          <w:color w:val="auto"/>
          <w:szCs w:val="21"/>
          <w:highlight w:val="none"/>
        </w:rPr>
      </w:pPr>
      <w:r>
        <w:rPr>
          <w:rFonts w:hint="eastAsia" w:ascii="宋体" w:hAnsi="宋体" w:cs="仿宋_GB2312"/>
          <w:color w:val="auto"/>
          <w:szCs w:val="21"/>
          <w:highlight w:val="none"/>
        </w:rPr>
        <w:t>1.以联合体形式磋商的，本授权委托书应由联合体牵头人的法定代表人按上述规定签署。</w:t>
      </w:r>
    </w:p>
    <w:p>
      <w:pPr>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宋体" w:hAnsi="宋体" w:cs="仿宋_GB2312"/>
          <w:color w:val="auto"/>
          <w:szCs w:val="21"/>
          <w:highlight w:val="none"/>
        </w:rPr>
        <w:t>2</w:t>
      </w:r>
      <w:r>
        <w:rPr>
          <w:rFonts w:ascii="宋体" w:hAnsi="宋体" w:cs="仿宋_GB2312"/>
          <w:color w:val="auto"/>
          <w:szCs w:val="21"/>
          <w:highlight w:val="none"/>
        </w:rPr>
        <w:t>.</w:t>
      </w:r>
      <w:r>
        <w:rPr>
          <w:rFonts w:hint="eastAsia" w:ascii="宋体" w:hAnsi="宋体" w:cs="仿宋_GB2312"/>
          <w:color w:val="auto"/>
          <w:szCs w:val="21"/>
          <w:highlight w:val="none"/>
        </w:rPr>
        <w:t>供应商为其他组织时，本磋商文件规定的法定代表人指负责人。本磋商文件所称负责人是指参加磋商的其他组织营业执照上的负责人。</w:t>
      </w:r>
    </w:p>
    <w:p>
      <w:pPr>
        <w:spacing w:line="500" w:lineRule="exact"/>
        <w:jc w:val="center"/>
        <w:rPr>
          <w:rFonts w:hint="eastAsia" w:ascii="宋体" w:hAnsi="宋体" w:cs="宋体"/>
          <w:b/>
          <w:bCs/>
          <w:color w:val="auto"/>
          <w:sz w:val="28"/>
          <w:szCs w:val="28"/>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bCs/>
          <w:color w:val="auto"/>
          <w:sz w:val="28"/>
          <w:szCs w:val="28"/>
          <w:highlight w:val="none"/>
        </w:rPr>
        <w:t>商务条款偏离表格式</w:t>
      </w:r>
    </w:p>
    <w:p>
      <w:pPr>
        <w:spacing w:line="500" w:lineRule="exact"/>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(注：按采购需求具体条款修改)</w:t>
      </w:r>
    </w:p>
    <w:tbl>
      <w:tblPr>
        <w:tblStyle w:val="32"/>
        <w:tblpPr w:leftFromText="180" w:rightFromText="180" w:vertAnchor="text" w:horzAnchor="margin" w:tblpY="311"/>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4"/>
        <w:gridCol w:w="2614"/>
        <w:gridCol w:w="2579"/>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项目</w:t>
            </w:r>
          </w:p>
        </w:tc>
        <w:tc>
          <w:tcPr>
            <w:tcW w:w="26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磋商文件商务条款要求</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供应商的承诺</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c>
          <w:tcPr>
            <w:tcW w:w="25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c>
          <w:tcPr>
            <w:tcW w:w="25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left="43"/>
              <w:jc w:val="center"/>
              <w:rPr>
                <w:rFonts w:hint="eastAsia" w:ascii="宋体" w:hAnsi="宋体" w:cs="仿宋_GB2312"/>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ind w:left="43"/>
              <w:jc w:val="center"/>
              <w:rPr>
                <w:rFonts w:hint="eastAsia"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_GB2312"/>
                <w:color w:val="auto"/>
                <w:szCs w:val="21"/>
                <w:highlight w:val="none"/>
              </w:rPr>
            </w:pPr>
          </w:p>
        </w:tc>
        <w:tc>
          <w:tcPr>
            <w:tcW w:w="26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c>
          <w:tcPr>
            <w:tcW w:w="25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261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w:t>
            </w:r>
          </w:p>
        </w:tc>
      </w:tr>
    </w:tbl>
    <w:p>
      <w:pPr>
        <w:pStyle w:val="17"/>
        <w:spacing w:after="0" w:line="440" w:lineRule="exact"/>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注：</w:t>
      </w:r>
    </w:p>
    <w:p>
      <w:pPr>
        <w:pStyle w:val="17"/>
        <w:spacing w:after="0" w:line="440" w:lineRule="exact"/>
        <w:contextualSpacing/>
        <w:rPr>
          <w:rFonts w:ascii="宋体" w:hAnsi="宋体"/>
          <w:color w:val="auto"/>
          <w:kern w:val="0"/>
          <w:sz w:val="21"/>
          <w:szCs w:val="21"/>
          <w:highlight w:val="none"/>
        </w:rPr>
      </w:pPr>
      <w:r>
        <w:rPr>
          <w:rFonts w:hint="eastAsia" w:ascii="宋体" w:hAnsi="宋体"/>
          <w:color w:val="auto"/>
          <w:kern w:val="0"/>
          <w:sz w:val="21"/>
          <w:szCs w:val="21"/>
          <w:highlight w:val="none"/>
        </w:rPr>
        <w:t>1. 说明：应对照采购文件“第三章 采购需求”中的要求逐条明确响应，并作出偏离说明。</w:t>
      </w:r>
    </w:p>
    <w:p>
      <w:pPr>
        <w:pStyle w:val="17"/>
        <w:spacing w:after="0" w:line="440" w:lineRule="exact"/>
        <w:contextualSpacing/>
        <w:rPr>
          <w:rFonts w:hint="eastAsia" w:ascii="宋体" w:hAnsi="宋体"/>
          <w:color w:val="auto"/>
          <w:kern w:val="0"/>
          <w:sz w:val="21"/>
          <w:szCs w:val="21"/>
          <w:highlight w:val="none"/>
        </w:rPr>
      </w:pPr>
      <w:r>
        <w:rPr>
          <w:rFonts w:hint="eastAsia" w:ascii="宋体" w:hAnsi="宋体"/>
          <w:color w:val="auto"/>
          <w:kern w:val="0"/>
          <w:sz w:val="21"/>
          <w:szCs w:val="21"/>
          <w:highlight w:val="none"/>
        </w:rPr>
        <w:t>2.供应商应根据自身的承诺，对照采购文件要求在“偏离说明”中注明“正偏离”、“负偏离”或者“无偏离”。既不属于“正偏离”也不属于“负偏离”即为“无偏离”。</w:t>
      </w:r>
    </w:p>
    <w:p>
      <w:pPr>
        <w:spacing w:line="360" w:lineRule="auto"/>
        <w:contextualSpacing/>
        <w:jc w:val="left"/>
        <w:rPr>
          <w:rFonts w:hint="eastAsia" w:ascii="宋体" w:hAnsi="宋体" w:cs="仿宋_GB2312"/>
          <w:color w:val="auto"/>
          <w:sz w:val="24"/>
          <w:highlight w:val="none"/>
          <w:u w:val="single"/>
        </w:rPr>
      </w:pPr>
    </w:p>
    <w:p>
      <w:pPr>
        <w:spacing w:line="360" w:lineRule="auto"/>
        <w:contextualSpacing/>
        <w:jc w:val="left"/>
        <w:rPr>
          <w:rFonts w:hint="eastAsia" w:ascii="宋体" w:hAnsi="宋体" w:cs="仿宋_GB2312"/>
          <w:color w:val="auto"/>
          <w:sz w:val="24"/>
          <w:highlight w:val="none"/>
          <w:u w:val="single"/>
        </w:rPr>
      </w:pPr>
    </w:p>
    <w:p>
      <w:pPr>
        <w:spacing w:line="360" w:lineRule="auto"/>
        <w:ind w:right="-817" w:rightChars="-389"/>
        <w:contextualSpacing/>
        <w:jc w:val="center"/>
        <w:rPr>
          <w:rFonts w:hint="eastAsia" w:ascii="宋体" w:hAnsi="宋体" w:cs="仿宋_GB2312"/>
          <w:color w:val="auto"/>
          <w:szCs w:val="21"/>
          <w:highlight w:val="none"/>
        </w:rPr>
      </w:pPr>
    </w:p>
    <w:p>
      <w:pPr>
        <w:spacing w:line="440" w:lineRule="exact"/>
        <w:ind w:right="-817" w:rightChars="-389" w:firstLine="2520" w:firstLineChars="1200"/>
        <w:contextualSpacing/>
        <w:jc w:val="center"/>
        <w:rPr>
          <w:rFonts w:hint="eastAsia" w:ascii="宋体" w:hAnsi="宋体" w:cs="仿宋_GB2312"/>
          <w:color w:val="auto"/>
          <w:szCs w:val="21"/>
          <w:highlight w:val="none"/>
          <w:u w:val="single"/>
        </w:rPr>
      </w:pPr>
      <w:r>
        <w:rPr>
          <w:rFonts w:hint="eastAsia" w:ascii="宋体" w:hAnsi="宋体" w:cs="仿宋_GB2312"/>
          <w:color w:val="auto"/>
          <w:szCs w:val="21"/>
          <w:highlight w:val="none"/>
        </w:rPr>
        <w:t>供应商[公章（CA签章）]：</w:t>
      </w:r>
      <w:r>
        <w:rPr>
          <w:rFonts w:hint="eastAsia" w:ascii="宋体" w:hAnsi="宋体" w:cs="仿宋_GB2312"/>
          <w:color w:val="auto"/>
          <w:szCs w:val="21"/>
          <w:highlight w:val="none"/>
          <w:u w:val="single"/>
        </w:rPr>
        <w:t xml:space="preserve">                       </w:t>
      </w:r>
    </w:p>
    <w:p>
      <w:pPr>
        <w:spacing w:line="440" w:lineRule="exact"/>
        <w:ind w:right="-817" w:rightChars="-389" w:firstLine="2520" w:firstLineChars="1200"/>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法定代表人（负责人）或授权代理人签字（或个人CA签章）：</w:t>
      </w:r>
      <w:r>
        <w:rPr>
          <w:rFonts w:hint="eastAsia" w:ascii="宋体" w:hAnsi="宋体" w:cs="仿宋_GB2312"/>
          <w:color w:val="auto"/>
          <w:szCs w:val="21"/>
          <w:highlight w:val="none"/>
          <w:u w:val="single"/>
        </w:rPr>
        <w:t xml:space="preserve">     </w:t>
      </w:r>
    </w:p>
    <w:p>
      <w:pPr>
        <w:spacing w:line="440" w:lineRule="exact"/>
        <w:ind w:right="-817" w:rightChars="-389" w:firstLine="2520" w:firstLineChars="1200"/>
        <w:contextualSpacing/>
        <w:jc w:val="center"/>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pPr>
        <w:adjustRightInd w:val="0"/>
        <w:snapToGrid w:val="0"/>
        <w:spacing w:line="300" w:lineRule="auto"/>
        <w:jc w:val="center"/>
        <w:rPr>
          <w:rFonts w:hint="eastAsia" w:ascii="微软雅黑" w:hAnsi="微软雅黑" w:eastAsia="微软雅黑" w:cs="微软雅黑"/>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宋体" w:hAnsi="宋体" w:cs="宋体"/>
          <w:b/>
          <w:bCs/>
          <w:color w:val="auto"/>
          <w:sz w:val="28"/>
          <w:szCs w:val="28"/>
          <w:highlight w:val="none"/>
        </w:rPr>
        <w:t>采购需求偏离表</w:t>
      </w:r>
    </w:p>
    <w:p>
      <w:pPr>
        <w:spacing w:line="520" w:lineRule="exact"/>
        <w:rPr>
          <w:rFonts w:hint="eastAsia" w:ascii="仿宋_GB2312" w:hAnsi="仿宋_GB2312" w:eastAsia="仿宋_GB2312" w:cs="仿宋_GB2312"/>
          <w:color w:val="auto"/>
          <w:sz w:val="32"/>
          <w:szCs w:val="32"/>
          <w:highlight w:val="none"/>
        </w:rPr>
      </w:pPr>
    </w:p>
    <w:p>
      <w:pPr>
        <w:spacing w:line="360" w:lineRule="auto"/>
        <w:rPr>
          <w:rFonts w:hint="eastAsia" w:ascii="宋体" w:hAnsi="宋体" w:cs="仿宋_GB2312"/>
          <w:color w:val="auto"/>
          <w:szCs w:val="21"/>
          <w:highlight w:val="none"/>
          <w:u w:val="single"/>
        </w:rPr>
      </w:pPr>
      <w:r>
        <w:rPr>
          <w:rFonts w:hint="eastAsia" w:ascii="宋体" w:hAnsi="宋体" w:cs="仿宋_GB2312"/>
          <w:color w:val="auto"/>
          <w:szCs w:val="21"/>
          <w:highlight w:val="none"/>
        </w:rPr>
        <w:t>采购项目编号：</w:t>
      </w:r>
      <w:r>
        <w:rPr>
          <w:rFonts w:hint="eastAsia" w:ascii="宋体" w:hAnsi="宋体" w:cs="仿宋_GB2312"/>
          <w:color w:val="auto"/>
          <w:szCs w:val="21"/>
          <w:highlight w:val="none"/>
          <w:u w:val="single"/>
        </w:rPr>
        <w:t xml:space="preserve">                 </w:t>
      </w:r>
    </w:p>
    <w:p>
      <w:pPr>
        <w:spacing w:line="360" w:lineRule="auto"/>
        <w:rPr>
          <w:rFonts w:hint="eastAsia" w:ascii="宋体" w:hAnsi="宋体" w:cs="仿宋_GB2312"/>
          <w:color w:val="auto"/>
          <w:szCs w:val="21"/>
          <w:highlight w:val="none"/>
        </w:rPr>
      </w:pPr>
      <w:r>
        <w:rPr>
          <w:rFonts w:hint="eastAsia" w:ascii="宋体" w:hAnsi="宋体" w:cs="仿宋_GB2312"/>
          <w:color w:val="auto"/>
          <w:szCs w:val="21"/>
          <w:highlight w:val="none"/>
        </w:rPr>
        <w:t>采购项目名称：</w:t>
      </w:r>
      <w:r>
        <w:rPr>
          <w:rFonts w:hint="eastAsia" w:ascii="宋体" w:hAnsi="宋体" w:cs="仿宋_GB2312"/>
          <w:color w:val="auto"/>
          <w:szCs w:val="21"/>
          <w:highlight w:val="none"/>
          <w:u w:val="single"/>
        </w:rPr>
        <w:t xml:space="preserve">                 </w:t>
      </w:r>
    </w:p>
    <w:tbl>
      <w:tblPr>
        <w:tblStyle w:val="32"/>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35"/>
        <w:gridCol w:w="1689"/>
        <w:gridCol w:w="2347"/>
        <w:gridCol w:w="2793"/>
        <w:gridCol w:w="15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170" w:name="_Toc297193185"/>
            <w:bookmarkStart w:id="171" w:name="_Toc173066401"/>
            <w:bookmarkStart w:id="172" w:name="_Toc254970729"/>
            <w:bookmarkStart w:id="173" w:name="_Toc173211900"/>
            <w:bookmarkStart w:id="174" w:name="_Toc383699906"/>
            <w:bookmarkStart w:id="175" w:name="_Toc373333689"/>
            <w:bookmarkStart w:id="176" w:name="_Toc254970588"/>
            <w:bookmarkStart w:id="177" w:name="_Toc301781611"/>
            <w:bookmarkStart w:id="178" w:name="_Toc295404981"/>
            <w:r>
              <w:rPr>
                <w:rFonts w:hint="eastAsia" w:ascii="宋体" w:hAnsi="宋体" w:eastAsia="宋体" w:cs="仿宋_GB2312"/>
                <w:color w:val="auto"/>
                <w:kern w:val="2"/>
                <w:sz w:val="21"/>
                <w:szCs w:val="21"/>
                <w:highlight w:val="none"/>
              </w:rPr>
              <w:t>序号</w:t>
            </w:r>
            <w:bookmarkEnd w:id="170"/>
            <w:bookmarkEnd w:id="171"/>
            <w:bookmarkEnd w:id="172"/>
            <w:bookmarkEnd w:id="173"/>
            <w:bookmarkEnd w:id="174"/>
            <w:bookmarkEnd w:id="175"/>
            <w:bookmarkEnd w:id="176"/>
            <w:bookmarkEnd w:id="177"/>
            <w:bookmarkEnd w:id="178"/>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r>
              <w:rPr>
                <w:rFonts w:hint="eastAsia" w:hAnsi="宋体" w:eastAsia="宋体" w:cs="宋体"/>
                <w:color w:val="auto"/>
                <w:kern w:val="2"/>
                <w:sz w:val="21"/>
                <w:szCs w:val="21"/>
                <w:highlight w:val="none"/>
              </w:rPr>
              <w:t>标的的名称</w:t>
            </w:r>
          </w:p>
        </w:tc>
        <w:tc>
          <w:tcPr>
            <w:tcW w:w="1263" w:type="pct"/>
            <w:tcBorders>
              <w:left w:val="single" w:color="auto" w:sz="4" w:space="0"/>
            </w:tcBorders>
            <w:noWrap w:val="0"/>
            <w:vAlign w:val="center"/>
          </w:tcPr>
          <w:p>
            <w:pPr>
              <w:pStyle w:val="11"/>
              <w:spacing w:line="360" w:lineRule="auto"/>
              <w:ind w:firstLine="0" w:firstLineChars="0"/>
              <w:jc w:val="center"/>
              <w:rPr>
                <w:rFonts w:ascii="宋体" w:hAnsi="宋体" w:eastAsia="宋体" w:cs="仿宋_GB2312"/>
                <w:color w:val="auto"/>
                <w:kern w:val="2"/>
                <w:sz w:val="21"/>
                <w:szCs w:val="21"/>
                <w:highlight w:val="none"/>
              </w:rPr>
            </w:pPr>
            <w:r>
              <w:rPr>
                <w:rFonts w:hint="eastAsia" w:ascii="宋体" w:hAnsi="宋体" w:eastAsia="宋体" w:cs="仿宋_GB2312"/>
                <w:color w:val="auto"/>
                <w:kern w:val="2"/>
                <w:sz w:val="21"/>
                <w:szCs w:val="21"/>
                <w:highlight w:val="none"/>
              </w:rPr>
              <w:t>服务要求</w:t>
            </w: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179" w:name="_Toc254970590"/>
            <w:bookmarkStart w:id="180" w:name="_Toc173066403"/>
            <w:bookmarkStart w:id="181" w:name="_Toc173211902"/>
            <w:bookmarkStart w:id="182" w:name="_Toc383699908"/>
            <w:bookmarkStart w:id="183" w:name="_Toc373333691"/>
            <w:bookmarkStart w:id="184" w:name="_Toc301781613"/>
            <w:bookmarkStart w:id="185" w:name="_Toc254970731"/>
            <w:bookmarkStart w:id="186" w:name="_Toc297193187"/>
            <w:bookmarkStart w:id="187" w:name="_Toc295404983"/>
            <w:r>
              <w:rPr>
                <w:rFonts w:hint="eastAsia" w:ascii="宋体" w:hAnsi="宋体" w:eastAsia="宋体" w:cs="仿宋_GB2312"/>
                <w:color w:val="auto"/>
                <w:kern w:val="2"/>
                <w:sz w:val="21"/>
                <w:szCs w:val="21"/>
                <w:highlight w:val="none"/>
              </w:rPr>
              <w:t>磋商响应</w:t>
            </w:r>
            <w:bookmarkEnd w:id="179"/>
            <w:bookmarkEnd w:id="180"/>
            <w:bookmarkEnd w:id="181"/>
            <w:bookmarkEnd w:id="182"/>
            <w:bookmarkEnd w:id="183"/>
            <w:bookmarkEnd w:id="184"/>
            <w:bookmarkEnd w:id="185"/>
            <w:bookmarkEnd w:id="186"/>
            <w:bookmarkEnd w:id="187"/>
          </w:p>
        </w:tc>
        <w:tc>
          <w:tcPr>
            <w:tcW w:w="820"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188" w:name="_Toc254970591"/>
            <w:bookmarkStart w:id="189" w:name="_Toc173211903"/>
            <w:bookmarkStart w:id="190" w:name="_Toc254970732"/>
            <w:bookmarkStart w:id="191" w:name="_Toc373333692"/>
            <w:bookmarkStart w:id="192" w:name="_Toc297193188"/>
            <w:bookmarkStart w:id="193" w:name="_Toc383699909"/>
            <w:bookmarkStart w:id="194" w:name="_Toc301781614"/>
            <w:bookmarkStart w:id="195" w:name="_Toc173066404"/>
            <w:bookmarkStart w:id="196" w:name="_Toc295404984"/>
            <w:r>
              <w:rPr>
                <w:rFonts w:hint="eastAsia" w:ascii="宋体" w:hAnsi="宋体" w:eastAsia="宋体" w:cs="仿宋_GB2312"/>
                <w:color w:val="auto"/>
                <w:kern w:val="2"/>
                <w:sz w:val="21"/>
                <w:szCs w:val="21"/>
                <w:highlight w:val="none"/>
              </w:rPr>
              <w:t>偏离</w:t>
            </w:r>
            <w:bookmarkEnd w:id="188"/>
            <w:bookmarkEnd w:id="189"/>
            <w:bookmarkEnd w:id="190"/>
            <w:bookmarkEnd w:id="191"/>
            <w:bookmarkEnd w:id="192"/>
            <w:bookmarkEnd w:id="193"/>
            <w:bookmarkEnd w:id="194"/>
            <w:bookmarkEnd w:id="195"/>
            <w:bookmarkEnd w:id="196"/>
            <w:bookmarkStart w:id="197" w:name="_Toc383699910"/>
            <w:bookmarkStart w:id="198" w:name="_Toc254970733"/>
            <w:bookmarkStart w:id="199" w:name="_Toc254970592"/>
            <w:bookmarkStart w:id="200" w:name="_Toc295404985"/>
            <w:bookmarkStart w:id="201" w:name="_Toc373333693"/>
            <w:bookmarkStart w:id="202" w:name="_Toc301781615"/>
            <w:bookmarkStart w:id="203" w:name="_Toc297193189"/>
            <w:bookmarkStart w:id="204" w:name="_Toc173211904"/>
            <w:bookmarkStart w:id="205" w:name="_Toc173066405"/>
            <w:r>
              <w:rPr>
                <w:rFonts w:hint="eastAsia" w:ascii="宋体" w:hAnsi="宋体" w:eastAsia="宋体" w:cs="仿宋_GB2312"/>
                <w:color w:val="auto"/>
                <w:kern w:val="2"/>
                <w:sz w:val="21"/>
                <w:szCs w:val="21"/>
                <w:highlight w:val="none"/>
              </w:rPr>
              <w:t>说明</w:t>
            </w:r>
            <w:bookmarkEnd w:id="197"/>
            <w:bookmarkEnd w:id="198"/>
            <w:bookmarkEnd w:id="199"/>
            <w:bookmarkEnd w:id="200"/>
            <w:bookmarkEnd w:id="201"/>
            <w:bookmarkEnd w:id="202"/>
            <w:bookmarkEnd w:id="203"/>
            <w:bookmarkEnd w:id="204"/>
            <w:bookmarkEnd w:id="20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06" w:name="_Toc373333694"/>
            <w:bookmarkStart w:id="207" w:name="_Toc297193190"/>
            <w:bookmarkStart w:id="208" w:name="_Toc295404986"/>
            <w:bookmarkStart w:id="209" w:name="_Toc173066406"/>
            <w:bookmarkStart w:id="210" w:name="_Toc301781616"/>
            <w:bookmarkStart w:id="211" w:name="_Toc383699911"/>
            <w:bookmarkStart w:id="212" w:name="_Toc254970593"/>
            <w:bookmarkStart w:id="213" w:name="_Toc173211905"/>
            <w:bookmarkStart w:id="214" w:name="_Toc254970734"/>
            <w:r>
              <w:rPr>
                <w:rFonts w:hint="eastAsia" w:ascii="宋体" w:hAnsi="宋体" w:eastAsia="宋体" w:cs="仿宋_GB2312"/>
                <w:color w:val="auto"/>
                <w:kern w:val="2"/>
                <w:sz w:val="21"/>
                <w:szCs w:val="21"/>
                <w:highlight w:val="none"/>
              </w:rPr>
              <w:t>1</w:t>
            </w:r>
            <w:bookmarkEnd w:id="206"/>
            <w:bookmarkEnd w:id="207"/>
            <w:bookmarkEnd w:id="208"/>
            <w:bookmarkEnd w:id="209"/>
            <w:bookmarkEnd w:id="210"/>
            <w:bookmarkEnd w:id="211"/>
            <w:bookmarkEnd w:id="212"/>
            <w:bookmarkEnd w:id="213"/>
            <w:bookmarkEnd w:id="214"/>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15" w:name="_Toc301781617"/>
            <w:bookmarkStart w:id="216" w:name="_Toc173066407"/>
            <w:bookmarkStart w:id="217" w:name="_Toc383699912"/>
            <w:bookmarkStart w:id="218" w:name="_Toc173211906"/>
            <w:bookmarkStart w:id="219" w:name="_Toc373333695"/>
            <w:bookmarkStart w:id="220" w:name="_Toc254970594"/>
            <w:bookmarkStart w:id="221" w:name="_Toc297193191"/>
            <w:bookmarkStart w:id="222" w:name="_Toc254970735"/>
            <w:bookmarkStart w:id="223" w:name="_Toc295404987"/>
            <w:r>
              <w:rPr>
                <w:rFonts w:hint="eastAsia" w:ascii="宋体" w:hAnsi="宋体" w:eastAsia="宋体" w:cs="仿宋_GB2312"/>
                <w:color w:val="auto"/>
                <w:kern w:val="2"/>
                <w:sz w:val="21"/>
                <w:szCs w:val="21"/>
                <w:highlight w:val="none"/>
              </w:rPr>
              <w:t>2</w:t>
            </w:r>
            <w:bookmarkEnd w:id="215"/>
            <w:bookmarkEnd w:id="216"/>
            <w:bookmarkEnd w:id="217"/>
            <w:bookmarkEnd w:id="218"/>
            <w:bookmarkEnd w:id="219"/>
            <w:bookmarkEnd w:id="220"/>
            <w:bookmarkEnd w:id="221"/>
            <w:bookmarkEnd w:id="222"/>
            <w:bookmarkEnd w:id="223"/>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24" w:name="_Toc297193192"/>
            <w:bookmarkStart w:id="225" w:name="_Toc254970736"/>
            <w:bookmarkStart w:id="226" w:name="_Toc301781618"/>
            <w:bookmarkStart w:id="227" w:name="_Toc383699913"/>
            <w:bookmarkStart w:id="228" w:name="_Toc173211907"/>
            <w:bookmarkStart w:id="229" w:name="_Toc173066408"/>
            <w:bookmarkStart w:id="230" w:name="_Toc295404988"/>
            <w:bookmarkStart w:id="231" w:name="_Toc373333696"/>
            <w:bookmarkStart w:id="232" w:name="_Toc254970595"/>
            <w:r>
              <w:rPr>
                <w:rFonts w:hint="eastAsia" w:ascii="宋体" w:hAnsi="宋体" w:eastAsia="宋体" w:cs="仿宋_GB2312"/>
                <w:color w:val="auto"/>
                <w:kern w:val="2"/>
                <w:sz w:val="21"/>
                <w:szCs w:val="21"/>
                <w:highlight w:val="none"/>
              </w:rPr>
              <w:t>3</w:t>
            </w:r>
            <w:bookmarkEnd w:id="224"/>
            <w:bookmarkEnd w:id="225"/>
            <w:bookmarkEnd w:id="226"/>
            <w:bookmarkEnd w:id="227"/>
            <w:bookmarkEnd w:id="228"/>
            <w:bookmarkEnd w:id="229"/>
            <w:bookmarkEnd w:id="230"/>
            <w:bookmarkEnd w:id="231"/>
            <w:bookmarkEnd w:id="232"/>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33" w:name="_Toc301781619"/>
            <w:bookmarkStart w:id="234" w:name="_Toc295404989"/>
            <w:bookmarkStart w:id="235" w:name="_Toc383699914"/>
            <w:bookmarkStart w:id="236" w:name="_Toc173211908"/>
            <w:bookmarkStart w:id="237" w:name="_Toc254970596"/>
            <w:bookmarkStart w:id="238" w:name="_Toc254970737"/>
            <w:bookmarkStart w:id="239" w:name="_Toc173066409"/>
            <w:bookmarkStart w:id="240" w:name="_Toc297193193"/>
            <w:bookmarkStart w:id="241" w:name="_Toc373333697"/>
            <w:r>
              <w:rPr>
                <w:rFonts w:hint="eastAsia" w:ascii="宋体" w:hAnsi="宋体" w:eastAsia="宋体" w:cs="仿宋_GB2312"/>
                <w:color w:val="auto"/>
                <w:kern w:val="2"/>
                <w:sz w:val="21"/>
                <w:szCs w:val="21"/>
                <w:highlight w:val="none"/>
              </w:rPr>
              <w:t>4</w:t>
            </w:r>
            <w:bookmarkEnd w:id="233"/>
            <w:bookmarkEnd w:id="234"/>
            <w:bookmarkEnd w:id="235"/>
            <w:bookmarkEnd w:id="236"/>
            <w:bookmarkEnd w:id="237"/>
            <w:bookmarkEnd w:id="238"/>
            <w:bookmarkEnd w:id="239"/>
            <w:bookmarkEnd w:id="240"/>
            <w:bookmarkEnd w:id="241"/>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42" w:name="_Toc173211909"/>
            <w:bookmarkStart w:id="243" w:name="_Toc254970738"/>
            <w:bookmarkStart w:id="244" w:name="_Toc295404990"/>
            <w:bookmarkStart w:id="245" w:name="_Toc373333698"/>
            <w:bookmarkStart w:id="246" w:name="_Toc297193194"/>
            <w:bookmarkStart w:id="247" w:name="_Toc254970597"/>
            <w:bookmarkStart w:id="248" w:name="_Toc301781620"/>
            <w:bookmarkStart w:id="249" w:name="_Toc173066410"/>
            <w:bookmarkStart w:id="250" w:name="_Toc383699915"/>
            <w:r>
              <w:rPr>
                <w:rFonts w:hint="eastAsia" w:ascii="宋体" w:hAnsi="宋体" w:eastAsia="宋体" w:cs="仿宋_GB2312"/>
                <w:color w:val="auto"/>
                <w:kern w:val="2"/>
                <w:sz w:val="21"/>
                <w:szCs w:val="21"/>
                <w:highlight w:val="none"/>
              </w:rPr>
              <w:t>5</w:t>
            </w:r>
            <w:bookmarkEnd w:id="242"/>
            <w:bookmarkEnd w:id="243"/>
            <w:bookmarkEnd w:id="244"/>
            <w:bookmarkEnd w:id="245"/>
            <w:bookmarkEnd w:id="246"/>
            <w:bookmarkEnd w:id="247"/>
            <w:bookmarkEnd w:id="248"/>
            <w:bookmarkEnd w:id="249"/>
            <w:bookmarkEnd w:id="250"/>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bookmarkStart w:id="251" w:name="_Toc383699916"/>
            <w:bookmarkStart w:id="252" w:name="_Toc254970602"/>
            <w:bookmarkStart w:id="253" w:name="_Toc295404991"/>
            <w:bookmarkStart w:id="254" w:name="_Toc301781621"/>
            <w:bookmarkStart w:id="255" w:name="_Toc373333699"/>
            <w:bookmarkStart w:id="256" w:name="_Toc297193195"/>
            <w:bookmarkStart w:id="257" w:name="_Toc173066415"/>
            <w:bookmarkStart w:id="258" w:name="_Toc254970743"/>
            <w:bookmarkStart w:id="259" w:name="_Toc173211914"/>
            <w:r>
              <w:rPr>
                <w:rFonts w:hint="eastAsia" w:ascii="宋体" w:hAnsi="宋体" w:eastAsia="宋体" w:cs="仿宋_GB2312"/>
                <w:color w:val="auto"/>
                <w:kern w:val="2"/>
                <w:sz w:val="21"/>
                <w:szCs w:val="21"/>
                <w:highlight w:val="none"/>
              </w:rPr>
              <w:t>…</w:t>
            </w:r>
            <w:bookmarkEnd w:id="251"/>
            <w:bookmarkEnd w:id="252"/>
            <w:bookmarkEnd w:id="253"/>
            <w:bookmarkEnd w:id="254"/>
            <w:bookmarkEnd w:id="255"/>
            <w:bookmarkEnd w:id="256"/>
            <w:bookmarkEnd w:id="257"/>
            <w:bookmarkEnd w:id="258"/>
            <w:bookmarkEnd w:id="259"/>
          </w:p>
        </w:tc>
        <w:tc>
          <w:tcPr>
            <w:tcW w:w="909"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263" w:type="pct"/>
            <w:tcBorders>
              <w:lef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1503" w:type="pct"/>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c>
          <w:tcPr>
            <w:tcW w:w="820" w:type="pct"/>
            <w:tcBorders>
              <w:right w:val="single" w:color="auto" w:sz="4" w:space="0"/>
            </w:tcBorders>
            <w:noWrap w:val="0"/>
            <w:vAlign w:val="center"/>
          </w:tcPr>
          <w:p>
            <w:pPr>
              <w:pStyle w:val="11"/>
              <w:spacing w:line="360" w:lineRule="auto"/>
              <w:ind w:firstLine="0" w:firstLineChars="0"/>
              <w:jc w:val="center"/>
              <w:rPr>
                <w:rFonts w:hint="eastAsia" w:ascii="宋体" w:hAnsi="宋体" w:eastAsia="宋体" w:cs="仿宋_GB2312"/>
                <w:color w:val="auto"/>
                <w:kern w:val="2"/>
                <w:sz w:val="21"/>
                <w:szCs w:val="21"/>
                <w:highlight w:val="none"/>
              </w:rPr>
            </w:pPr>
          </w:p>
        </w:tc>
      </w:tr>
    </w:tbl>
    <w:p>
      <w:pPr>
        <w:adjustRightInd w:val="0"/>
        <w:snapToGrid w:val="0"/>
        <w:spacing w:line="360" w:lineRule="auto"/>
        <w:rPr>
          <w:rFonts w:hint="eastAsia" w:ascii="宋体" w:hAnsi="宋体" w:cs="仿宋_GB2312"/>
          <w:color w:val="auto"/>
          <w:sz w:val="24"/>
          <w:highlight w:val="none"/>
        </w:rPr>
      </w:pPr>
    </w:p>
    <w:p>
      <w:pPr>
        <w:pStyle w:val="1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pStyle w:val="1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1.说明：应对照磋商文件“第三章、采购需求”中的技术需求逐条实质性响应，并作出偏离说明。</w:t>
      </w:r>
    </w:p>
    <w:p>
      <w:pPr>
        <w:pStyle w:val="11"/>
        <w:spacing w:line="360" w:lineRule="auto"/>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pPr>
        <w:pStyle w:val="20"/>
        <w:spacing w:line="360" w:lineRule="auto"/>
        <w:rPr>
          <w:rFonts w:hint="eastAsia" w:hAnsi="宋体" w:cs="宋体"/>
          <w:color w:val="auto"/>
          <w:sz w:val="21"/>
          <w:highlight w:val="none"/>
        </w:rPr>
      </w:pPr>
    </w:p>
    <w:p>
      <w:pPr>
        <w:snapToGrid w:val="0"/>
        <w:spacing w:before="50" w:after="50" w:line="360" w:lineRule="auto"/>
        <w:ind w:right="-817" w:rightChars="-389"/>
        <w:rPr>
          <w:rFonts w:hint="eastAsia" w:ascii="宋体" w:hAnsi="宋体" w:cs="宋体"/>
          <w:color w:val="auto"/>
          <w:szCs w:val="21"/>
          <w:highlight w:val="none"/>
        </w:rPr>
      </w:pPr>
    </w:p>
    <w:p>
      <w:pPr>
        <w:spacing w:line="440" w:lineRule="exact"/>
        <w:ind w:right="-817" w:rightChars="-389" w:firstLine="2520" w:firstLineChars="1200"/>
        <w:contextualSpacing/>
        <w:jc w:val="center"/>
        <w:rPr>
          <w:rFonts w:hint="eastAsia" w:ascii="宋体" w:hAnsi="宋体" w:cs="仿宋_GB2312"/>
          <w:color w:val="auto"/>
          <w:szCs w:val="21"/>
          <w:highlight w:val="none"/>
          <w:u w:val="single"/>
        </w:rPr>
      </w:pPr>
      <w:r>
        <w:rPr>
          <w:rFonts w:hint="eastAsia" w:ascii="宋体" w:hAnsi="宋体" w:cs="仿宋_GB2312"/>
          <w:color w:val="auto"/>
          <w:szCs w:val="21"/>
          <w:highlight w:val="none"/>
        </w:rPr>
        <w:t>供应商[公章（CA签章）]：</w:t>
      </w:r>
      <w:r>
        <w:rPr>
          <w:rFonts w:hint="eastAsia" w:ascii="宋体" w:hAnsi="宋体" w:cs="仿宋_GB2312"/>
          <w:color w:val="auto"/>
          <w:szCs w:val="21"/>
          <w:highlight w:val="none"/>
          <w:u w:val="single"/>
        </w:rPr>
        <w:t xml:space="preserve">                       </w:t>
      </w:r>
    </w:p>
    <w:p>
      <w:pPr>
        <w:spacing w:line="440" w:lineRule="exact"/>
        <w:ind w:right="-817" w:rightChars="-389" w:firstLine="2520" w:firstLineChars="1200"/>
        <w:contextualSpacing/>
        <w:jc w:val="center"/>
        <w:rPr>
          <w:rFonts w:ascii="宋体" w:hAnsi="宋体" w:cs="仿宋_GB2312"/>
          <w:color w:val="auto"/>
          <w:szCs w:val="21"/>
          <w:highlight w:val="none"/>
        </w:rPr>
      </w:pPr>
      <w:r>
        <w:rPr>
          <w:rFonts w:hint="eastAsia" w:ascii="宋体" w:hAnsi="宋体" w:cs="仿宋_GB2312"/>
          <w:color w:val="auto"/>
          <w:szCs w:val="21"/>
          <w:highlight w:val="none"/>
        </w:rPr>
        <w:t>法定代表人（负责人）或授权代理人签字（或个人CA签章）：</w:t>
      </w:r>
      <w:r>
        <w:rPr>
          <w:rFonts w:hint="eastAsia" w:ascii="宋体" w:hAnsi="宋体" w:cs="仿宋_GB2312"/>
          <w:color w:val="auto"/>
          <w:szCs w:val="21"/>
          <w:highlight w:val="none"/>
          <w:u w:val="single"/>
        </w:rPr>
        <w:t xml:space="preserve">     </w:t>
      </w:r>
    </w:p>
    <w:p>
      <w:pPr>
        <w:spacing w:line="440" w:lineRule="exact"/>
        <w:ind w:right="-817" w:rightChars="-389" w:firstLine="2520" w:firstLineChars="1200"/>
        <w:contextualSpacing/>
        <w:jc w:val="center"/>
        <w:rPr>
          <w:rFonts w:hint="eastAsia" w:ascii="宋体" w:hAnsi="宋体" w:cs="仿宋_GB2312"/>
          <w:color w:val="auto"/>
          <w:szCs w:val="21"/>
          <w:highlight w:val="none"/>
        </w:rPr>
      </w:pPr>
      <w:r>
        <w:rPr>
          <w:rFonts w:hint="eastAsia" w:ascii="宋体" w:hAnsi="宋体" w:cs="仿宋_GB2312"/>
          <w:color w:val="auto"/>
          <w:szCs w:val="21"/>
          <w:highlight w:val="none"/>
        </w:rPr>
        <w:t>日期：   年   月   日</w:t>
      </w:r>
    </w:p>
    <w:p>
      <w:pPr>
        <w:adjustRightInd w:val="0"/>
        <w:snapToGrid w:val="0"/>
        <w:spacing w:line="520" w:lineRule="exact"/>
        <w:ind w:firstLine="7040" w:firstLineChars="1600"/>
        <w:jc w:val="center"/>
        <w:rPr>
          <w:rFonts w:hint="eastAsia" w:ascii="方正小标宋简体" w:hAnsi="方正小标宋简体" w:eastAsia="方正小标宋简体" w:cs="方正小标宋简体"/>
          <w:bCs/>
          <w:color w:val="auto"/>
          <w:sz w:val="44"/>
          <w:szCs w:val="44"/>
          <w:highlight w:val="none"/>
        </w:rPr>
      </w:pPr>
    </w:p>
    <w:p>
      <w:pPr>
        <w:snapToGrid w:val="0"/>
        <w:spacing w:before="156" w:beforeLines="50" w:after="50"/>
        <w:ind w:left="142"/>
        <w:jc w:val="left"/>
        <w:rPr>
          <w:rFonts w:hint="eastAsia" w:ascii="宋体" w:hAnsi="宋体"/>
          <w:b/>
          <w:color w:val="auto"/>
          <w:sz w:val="24"/>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宋体" w:hAnsi="宋体"/>
          <w:b/>
          <w:color w:val="auto"/>
          <w:sz w:val="24"/>
          <w:highlight w:val="none"/>
        </w:rPr>
        <w:t>项目实施人员一览表格式</w:t>
      </w:r>
    </w:p>
    <w:p>
      <w:pPr>
        <w:snapToGrid w:val="0"/>
        <w:spacing w:before="156" w:beforeLines="50" w:after="50"/>
        <w:ind w:left="142"/>
        <w:jc w:val="left"/>
        <w:rPr>
          <w:rFonts w:hint="eastAsia" w:ascii="宋体" w:hAnsi="宋体"/>
          <w:b/>
          <w:color w:val="auto"/>
          <w:sz w:val="24"/>
          <w:highlight w:val="none"/>
        </w:rPr>
      </w:pPr>
    </w:p>
    <w:p>
      <w:pPr>
        <w:snapToGrid w:val="0"/>
        <w:spacing w:before="156" w:beforeLines="50" w:after="50"/>
        <w:ind w:left="142"/>
        <w:jc w:val="center"/>
        <w:rPr>
          <w:rFonts w:hint="eastAsia" w:ascii="宋体" w:hAnsi="宋体"/>
          <w:b/>
          <w:color w:val="auto"/>
          <w:sz w:val="28"/>
          <w:szCs w:val="28"/>
          <w:highlight w:val="none"/>
        </w:rPr>
      </w:pPr>
      <w:r>
        <w:rPr>
          <w:rFonts w:hint="eastAsia" w:ascii="宋体" w:hAnsi="宋体"/>
          <w:b/>
          <w:color w:val="auto"/>
          <w:sz w:val="28"/>
          <w:szCs w:val="28"/>
          <w:highlight w:val="none"/>
        </w:rPr>
        <w:t>项目实施人员一览表</w:t>
      </w:r>
    </w:p>
    <w:tbl>
      <w:tblPr>
        <w:tblStyle w:val="32"/>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987"/>
        <w:gridCol w:w="2370"/>
        <w:gridCol w:w="1978"/>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138" w:type="dxa"/>
            <w:noWrap w:val="0"/>
            <w:vAlign w:val="center"/>
          </w:tcPr>
          <w:p>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姓名</w:t>
            </w:r>
          </w:p>
        </w:tc>
        <w:tc>
          <w:tcPr>
            <w:tcW w:w="987" w:type="dxa"/>
            <w:noWrap w:val="0"/>
            <w:vAlign w:val="center"/>
          </w:tcPr>
          <w:p>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职务</w:t>
            </w:r>
          </w:p>
        </w:tc>
        <w:tc>
          <w:tcPr>
            <w:tcW w:w="2370" w:type="dxa"/>
            <w:noWrap w:val="0"/>
            <w:vAlign w:val="center"/>
          </w:tcPr>
          <w:p>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专业技术资格（职称）</w:t>
            </w:r>
          </w:p>
        </w:tc>
        <w:tc>
          <w:tcPr>
            <w:tcW w:w="1978" w:type="dxa"/>
            <w:noWrap w:val="0"/>
            <w:vAlign w:val="center"/>
          </w:tcPr>
          <w:p>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职业资格</w:t>
            </w:r>
          </w:p>
        </w:tc>
        <w:tc>
          <w:tcPr>
            <w:tcW w:w="2365" w:type="dxa"/>
            <w:noWrap w:val="0"/>
            <w:vAlign w:val="center"/>
          </w:tcPr>
          <w:p>
            <w:pPr>
              <w:snapToGrid w:val="0"/>
              <w:spacing w:before="50" w:after="156" w:afterLines="50"/>
              <w:jc w:val="center"/>
              <w:rPr>
                <w:rFonts w:hint="eastAsia" w:ascii="宋体" w:hAnsi="宋体"/>
                <w:color w:val="auto"/>
                <w:szCs w:val="21"/>
                <w:highlight w:val="none"/>
              </w:rPr>
            </w:pPr>
            <w:r>
              <w:rPr>
                <w:rFonts w:hint="eastAsia" w:ascii="宋体" w:hAnsi="宋体"/>
                <w:color w:val="auto"/>
                <w:szCs w:val="21"/>
                <w:highlight w:val="none"/>
              </w:rPr>
              <w:t>本项目中拟任职务或岗位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38" w:type="dxa"/>
            <w:noWrap w:val="0"/>
            <w:vAlign w:val="center"/>
          </w:tcPr>
          <w:p>
            <w:pPr>
              <w:snapToGrid w:val="0"/>
              <w:spacing w:before="50" w:after="156" w:afterLines="50"/>
              <w:jc w:val="center"/>
              <w:rPr>
                <w:rFonts w:hint="eastAsia" w:ascii="宋体" w:hAnsi="宋体"/>
                <w:color w:val="auto"/>
                <w:szCs w:val="21"/>
                <w:highlight w:val="none"/>
              </w:rPr>
            </w:pPr>
          </w:p>
        </w:tc>
        <w:tc>
          <w:tcPr>
            <w:tcW w:w="987" w:type="dxa"/>
            <w:noWrap w:val="0"/>
            <w:vAlign w:val="center"/>
          </w:tcPr>
          <w:p>
            <w:pPr>
              <w:snapToGrid w:val="0"/>
              <w:spacing w:before="50" w:after="156" w:afterLines="50"/>
              <w:jc w:val="center"/>
              <w:rPr>
                <w:rFonts w:hint="eastAsia" w:ascii="宋体" w:hAnsi="宋体"/>
                <w:color w:val="auto"/>
                <w:szCs w:val="21"/>
                <w:highlight w:val="none"/>
              </w:rPr>
            </w:pPr>
          </w:p>
        </w:tc>
        <w:tc>
          <w:tcPr>
            <w:tcW w:w="2370" w:type="dxa"/>
            <w:noWrap w:val="0"/>
            <w:vAlign w:val="center"/>
          </w:tcPr>
          <w:p>
            <w:pPr>
              <w:snapToGrid w:val="0"/>
              <w:spacing w:before="50" w:after="156" w:afterLines="50"/>
              <w:jc w:val="center"/>
              <w:rPr>
                <w:rFonts w:hint="eastAsia" w:ascii="宋体" w:hAnsi="宋体"/>
                <w:color w:val="auto"/>
                <w:szCs w:val="21"/>
                <w:highlight w:val="none"/>
              </w:rPr>
            </w:pPr>
          </w:p>
        </w:tc>
        <w:tc>
          <w:tcPr>
            <w:tcW w:w="1978" w:type="dxa"/>
            <w:noWrap w:val="0"/>
            <w:vAlign w:val="center"/>
          </w:tcPr>
          <w:p>
            <w:pPr>
              <w:snapToGrid w:val="0"/>
              <w:spacing w:before="50" w:after="156" w:afterLines="50"/>
              <w:jc w:val="center"/>
              <w:rPr>
                <w:rFonts w:hint="eastAsia" w:ascii="宋体" w:hAnsi="宋体"/>
                <w:color w:val="auto"/>
                <w:szCs w:val="21"/>
                <w:highlight w:val="none"/>
              </w:rPr>
            </w:pPr>
          </w:p>
        </w:tc>
        <w:tc>
          <w:tcPr>
            <w:tcW w:w="2365" w:type="dxa"/>
            <w:noWrap w:val="0"/>
            <w:vAlign w:val="center"/>
          </w:tcPr>
          <w:p>
            <w:pPr>
              <w:snapToGrid w:val="0"/>
              <w:spacing w:before="50" w:after="156" w:afterLines="5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138" w:type="dxa"/>
            <w:noWrap w:val="0"/>
            <w:vAlign w:val="center"/>
          </w:tcPr>
          <w:p>
            <w:pPr>
              <w:snapToGrid w:val="0"/>
              <w:spacing w:before="50" w:after="156" w:afterLines="50"/>
              <w:jc w:val="center"/>
              <w:rPr>
                <w:rFonts w:hint="eastAsia" w:ascii="宋体" w:hAnsi="宋体"/>
                <w:color w:val="auto"/>
                <w:szCs w:val="21"/>
                <w:highlight w:val="none"/>
              </w:rPr>
            </w:pPr>
          </w:p>
        </w:tc>
        <w:tc>
          <w:tcPr>
            <w:tcW w:w="987" w:type="dxa"/>
            <w:noWrap w:val="0"/>
            <w:vAlign w:val="center"/>
          </w:tcPr>
          <w:p>
            <w:pPr>
              <w:snapToGrid w:val="0"/>
              <w:spacing w:before="50" w:after="156" w:afterLines="50"/>
              <w:jc w:val="center"/>
              <w:rPr>
                <w:rFonts w:hint="eastAsia" w:ascii="宋体" w:hAnsi="宋体"/>
                <w:color w:val="auto"/>
                <w:szCs w:val="21"/>
                <w:highlight w:val="none"/>
              </w:rPr>
            </w:pPr>
          </w:p>
        </w:tc>
        <w:tc>
          <w:tcPr>
            <w:tcW w:w="2370" w:type="dxa"/>
            <w:noWrap w:val="0"/>
            <w:vAlign w:val="center"/>
          </w:tcPr>
          <w:p>
            <w:pPr>
              <w:snapToGrid w:val="0"/>
              <w:spacing w:before="50" w:after="156" w:afterLines="50"/>
              <w:jc w:val="center"/>
              <w:rPr>
                <w:rFonts w:hint="eastAsia" w:ascii="宋体" w:hAnsi="宋体"/>
                <w:color w:val="auto"/>
                <w:szCs w:val="21"/>
                <w:highlight w:val="none"/>
              </w:rPr>
            </w:pPr>
          </w:p>
        </w:tc>
        <w:tc>
          <w:tcPr>
            <w:tcW w:w="1978" w:type="dxa"/>
            <w:noWrap w:val="0"/>
            <w:vAlign w:val="center"/>
          </w:tcPr>
          <w:p>
            <w:pPr>
              <w:snapToGrid w:val="0"/>
              <w:spacing w:before="50" w:after="156" w:afterLines="50"/>
              <w:jc w:val="center"/>
              <w:rPr>
                <w:rFonts w:hint="eastAsia" w:ascii="宋体" w:hAnsi="宋体"/>
                <w:color w:val="auto"/>
                <w:szCs w:val="21"/>
                <w:highlight w:val="none"/>
              </w:rPr>
            </w:pPr>
          </w:p>
        </w:tc>
        <w:tc>
          <w:tcPr>
            <w:tcW w:w="2365" w:type="dxa"/>
            <w:noWrap w:val="0"/>
            <w:vAlign w:val="center"/>
          </w:tcPr>
          <w:p>
            <w:pPr>
              <w:snapToGrid w:val="0"/>
              <w:spacing w:before="50" w:after="156" w:afterLines="5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38" w:type="dxa"/>
            <w:noWrap w:val="0"/>
            <w:vAlign w:val="center"/>
          </w:tcPr>
          <w:p>
            <w:pPr>
              <w:snapToGrid w:val="0"/>
              <w:spacing w:before="50" w:after="156" w:afterLines="50"/>
              <w:jc w:val="center"/>
              <w:rPr>
                <w:rFonts w:hint="eastAsia" w:ascii="宋体" w:hAnsi="宋体"/>
                <w:color w:val="auto"/>
                <w:szCs w:val="21"/>
                <w:highlight w:val="none"/>
              </w:rPr>
            </w:pPr>
          </w:p>
        </w:tc>
        <w:tc>
          <w:tcPr>
            <w:tcW w:w="987" w:type="dxa"/>
            <w:noWrap w:val="0"/>
            <w:vAlign w:val="center"/>
          </w:tcPr>
          <w:p>
            <w:pPr>
              <w:snapToGrid w:val="0"/>
              <w:spacing w:before="50" w:after="156" w:afterLines="50"/>
              <w:jc w:val="center"/>
              <w:rPr>
                <w:rFonts w:hint="eastAsia" w:ascii="宋体" w:hAnsi="宋体"/>
                <w:color w:val="auto"/>
                <w:szCs w:val="21"/>
                <w:highlight w:val="none"/>
              </w:rPr>
            </w:pPr>
          </w:p>
        </w:tc>
        <w:tc>
          <w:tcPr>
            <w:tcW w:w="2370" w:type="dxa"/>
            <w:noWrap w:val="0"/>
            <w:vAlign w:val="center"/>
          </w:tcPr>
          <w:p>
            <w:pPr>
              <w:snapToGrid w:val="0"/>
              <w:spacing w:before="50" w:after="156" w:afterLines="50"/>
              <w:jc w:val="center"/>
              <w:rPr>
                <w:rFonts w:hint="eastAsia" w:ascii="宋体" w:hAnsi="宋体"/>
                <w:color w:val="auto"/>
                <w:szCs w:val="21"/>
                <w:highlight w:val="none"/>
              </w:rPr>
            </w:pPr>
          </w:p>
        </w:tc>
        <w:tc>
          <w:tcPr>
            <w:tcW w:w="1978" w:type="dxa"/>
            <w:noWrap w:val="0"/>
            <w:vAlign w:val="center"/>
          </w:tcPr>
          <w:p>
            <w:pPr>
              <w:snapToGrid w:val="0"/>
              <w:spacing w:before="50" w:after="156" w:afterLines="50"/>
              <w:jc w:val="center"/>
              <w:rPr>
                <w:rFonts w:hint="eastAsia" w:ascii="宋体" w:hAnsi="宋体"/>
                <w:color w:val="auto"/>
                <w:szCs w:val="21"/>
                <w:highlight w:val="none"/>
              </w:rPr>
            </w:pPr>
          </w:p>
        </w:tc>
        <w:tc>
          <w:tcPr>
            <w:tcW w:w="2365" w:type="dxa"/>
            <w:noWrap w:val="0"/>
            <w:vAlign w:val="center"/>
          </w:tcPr>
          <w:p>
            <w:pPr>
              <w:snapToGrid w:val="0"/>
              <w:spacing w:before="50" w:after="156" w:afterLines="50"/>
              <w:jc w:val="center"/>
              <w:rPr>
                <w:rFonts w:hint="eastAsia" w:ascii="宋体" w:hAnsi="宋体"/>
                <w:color w:val="auto"/>
                <w:szCs w:val="21"/>
                <w:highlight w:val="none"/>
              </w:rPr>
            </w:pPr>
          </w:p>
        </w:tc>
      </w:tr>
    </w:tbl>
    <w:p>
      <w:pPr>
        <w:snapToGrid w:val="0"/>
        <w:spacing w:before="50" w:after="156" w:afterLines="50"/>
        <w:jc w:val="left"/>
        <w:rPr>
          <w:rFonts w:hint="eastAsia" w:ascii="宋体" w:hAnsi="宋体"/>
          <w:color w:val="auto"/>
          <w:szCs w:val="21"/>
          <w:highlight w:val="none"/>
        </w:rPr>
      </w:pPr>
      <w:r>
        <w:rPr>
          <w:rFonts w:hint="eastAsia" w:ascii="宋体" w:hAnsi="宋体"/>
          <w:color w:val="auto"/>
          <w:szCs w:val="21"/>
          <w:highlight w:val="none"/>
        </w:rPr>
        <w:t>注：在填写时，如本表格不适合供应商的实际情况，可根据本表格式自行制表填写。</w:t>
      </w:r>
    </w:p>
    <w:p>
      <w:pPr>
        <w:snapToGrid w:val="0"/>
        <w:spacing w:before="50" w:after="50"/>
        <w:rPr>
          <w:rFonts w:hint="eastAsia" w:ascii="宋体" w:hAnsi="宋体"/>
          <w:color w:val="auto"/>
          <w:sz w:val="24"/>
          <w:highlight w:val="none"/>
        </w:rPr>
      </w:pPr>
    </w:p>
    <w:p>
      <w:pPr>
        <w:snapToGrid w:val="0"/>
        <w:spacing w:before="50" w:after="50"/>
        <w:rPr>
          <w:rFonts w:hint="eastAsia" w:ascii="宋体" w:hAnsi="宋体"/>
          <w:color w:val="auto"/>
          <w:sz w:val="24"/>
          <w:highlight w:val="none"/>
        </w:rPr>
      </w:pPr>
    </w:p>
    <w:p>
      <w:pPr>
        <w:snapToGrid w:val="0"/>
        <w:spacing w:before="50" w:after="156" w:afterLines="50" w:line="360" w:lineRule="auto"/>
        <w:jc w:val="left"/>
        <w:rPr>
          <w:rFonts w:hint="eastAsia" w:ascii="宋体" w:hAnsi="宋体"/>
          <w:color w:val="auto"/>
          <w:szCs w:val="21"/>
          <w:highlight w:val="none"/>
        </w:rPr>
      </w:pPr>
      <w:r>
        <w:rPr>
          <w:rFonts w:hint="eastAsia" w:ascii="宋体" w:hAnsi="宋体"/>
          <w:color w:val="auto"/>
          <w:szCs w:val="21"/>
          <w:highlight w:val="none"/>
        </w:rPr>
        <w:t xml:space="preserve">供应商[公章（CA签章）]：                       </w:t>
      </w:r>
    </w:p>
    <w:p>
      <w:pPr>
        <w:snapToGrid w:val="0"/>
        <w:spacing w:before="50" w:after="156" w:afterLines="50" w:line="360" w:lineRule="auto"/>
        <w:jc w:val="left"/>
        <w:rPr>
          <w:rFonts w:hint="eastAsia" w:ascii="宋体" w:hAnsi="宋体"/>
          <w:color w:val="auto"/>
          <w:szCs w:val="21"/>
          <w:highlight w:val="none"/>
        </w:rPr>
      </w:pPr>
      <w:r>
        <w:rPr>
          <w:rFonts w:hint="eastAsia" w:ascii="宋体" w:hAnsi="宋体"/>
          <w:color w:val="auto"/>
          <w:szCs w:val="21"/>
          <w:highlight w:val="none"/>
        </w:rPr>
        <w:t>法定代表人（负责人）或授权代理人签字（或个人CA签章）：                       </w:t>
      </w:r>
    </w:p>
    <w:p>
      <w:pPr>
        <w:snapToGrid w:val="0"/>
        <w:spacing w:before="50" w:after="156" w:afterLines="50" w:line="360" w:lineRule="auto"/>
        <w:jc w:val="left"/>
        <w:rPr>
          <w:rFonts w:hint="eastAsia" w:ascii="宋体" w:hAnsi="宋体"/>
          <w:color w:val="auto"/>
          <w:szCs w:val="21"/>
          <w:highlight w:val="none"/>
        </w:rPr>
      </w:pPr>
      <w:r>
        <w:rPr>
          <w:rFonts w:hint="eastAsia" w:ascii="宋体" w:hAnsi="宋体"/>
          <w:color w:val="auto"/>
          <w:szCs w:val="21"/>
          <w:highlight w:val="none"/>
        </w:rPr>
        <w:t xml:space="preserve">日期：   年   月   日   </w:t>
      </w:r>
    </w:p>
    <w:p>
      <w:pPr>
        <w:snapToGrid w:val="0"/>
        <w:spacing w:before="50" w:after="156" w:afterLines="50"/>
        <w:jc w:val="left"/>
        <w:rPr>
          <w:rFonts w:hint="eastAsia" w:ascii="宋体" w:hAnsi="宋体"/>
          <w:color w:val="auto"/>
          <w:sz w:val="24"/>
          <w:szCs w:val="20"/>
          <w:highlight w:val="none"/>
        </w:rPr>
      </w:pPr>
    </w:p>
    <w:p>
      <w:pPr>
        <w:snapToGrid w:val="0"/>
        <w:spacing w:before="50" w:after="50" w:line="360" w:lineRule="auto"/>
        <w:ind w:right="-817" w:rightChars="-389" w:firstLine="5461" w:firstLineChars="1700"/>
        <w:rPr>
          <w:rFonts w:hint="eastAsia" w:ascii="仿宋_GB2312" w:hAnsi="仿宋_GB2312" w:eastAsia="仿宋_GB2312" w:cs="仿宋_GB2312"/>
          <w:b/>
          <w:color w:val="auto"/>
          <w:sz w:val="32"/>
          <w:szCs w:val="32"/>
          <w:highlight w:val="none"/>
        </w:rPr>
      </w:pPr>
    </w:p>
    <w:p>
      <w:pPr>
        <w:spacing w:line="300" w:lineRule="auto"/>
        <w:rPr>
          <w:rFonts w:hint="eastAsia" w:ascii="宋体" w:hAnsi="宋体"/>
          <w:color w:val="auto"/>
          <w:szCs w:val="21"/>
          <w:highlight w:val="none"/>
        </w:rPr>
      </w:pPr>
      <w:r>
        <w:rPr>
          <w:rFonts w:ascii="宋体" w:hAnsi="宋体"/>
          <w:b/>
          <w:bCs/>
          <w:color w:val="auto"/>
          <w:sz w:val="24"/>
          <w:highlight w:val="none"/>
        </w:rPr>
        <w:br w:type="page"/>
      </w:r>
      <w:r>
        <w:rPr>
          <w:rFonts w:hint="eastAsia" w:ascii="宋体" w:hAnsi="宋体"/>
          <w:b/>
          <w:bCs/>
          <w:color w:val="auto"/>
          <w:sz w:val="24"/>
          <w:highlight w:val="none"/>
        </w:rPr>
        <w:t>其他文书、文件格式</w:t>
      </w:r>
    </w:p>
    <w:p>
      <w:pPr>
        <w:spacing w:line="52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中小企业声明函</w:t>
      </w:r>
    </w:p>
    <w:p>
      <w:pPr>
        <w:spacing w:line="520" w:lineRule="exact"/>
        <w:rPr>
          <w:rFonts w:ascii="仿宋_GB2312" w:hAnsi="仿宋_GB2312" w:eastAsia="仿宋_GB2312" w:cs="仿宋_GB2312"/>
          <w:color w:val="auto"/>
          <w:sz w:val="32"/>
          <w:szCs w:val="32"/>
          <w:highlight w:val="none"/>
        </w:rPr>
      </w:pPr>
    </w:p>
    <w:p>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pPr>
        <w:tabs>
          <w:tab w:val="left" w:pos="1384"/>
          <w:tab w:val="left" w:pos="4562"/>
          <w:tab w:val="left" w:pos="6803"/>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1.</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，从业人员人，营业收入为万元，资产总额为万元，属于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pStyle w:val="2"/>
        <w:spacing w:line="360" w:lineRule="auto"/>
        <w:ind w:hanging="5"/>
        <w:rPr>
          <w:rFonts w:ascii="宋体" w:hAnsi="宋体" w:cs="宋体"/>
          <w:color w:val="auto"/>
          <w:szCs w:val="21"/>
          <w:highlight w:val="none"/>
        </w:rPr>
      </w:pPr>
      <w:r>
        <w:rPr>
          <w:rFonts w:hint="eastAsia" w:ascii="宋体" w:hAnsi="宋体" w:cs="宋体"/>
          <w:color w:val="auto"/>
          <w:szCs w:val="21"/>
          <w:highlight w:val="none"/>
        </w:rPr>
        <w:t xml:space="preserve">…… </w:t>
      </w:r>
    </w:p>
    <w:p>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pStyle w:val="2"/>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供应商[公章（CA签章）]： </w:t>
      </w:r>
    </w:p>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日  期：         </w:t>
      </w: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宋体" w:hAnsi="宋体" w:cs="仿宋_GB2312"/>
          <w:color w:val="auto"/>
          <w:sz w:val="24"/>
          <w:highlight w:val="none"/>
        </w:rPr>
      </w:pPr>
    </w:p>
    <w:p>
      <w:pPr>
        <w:spacing w:line="360" w:lineRule="auto"/>
        <w:rPr>
          <w:rFonts w:ascii="仿宋_GB2312" w:hAnsi="仿宋_GB2312" w:eastAsia="仿宋_GB2312" w:cs="仿宋_GB2312"/>
          <w:color w:val="auto"/>
          <w:szCs w:val="21"/>
          <w:highlight w:val="none"/>
        </w:rPr>
      </w:pPr>
      <w:r>
        <w:rPr>
          <w:rFonts w:hint="eastAsia" w:ascii="宋体" w:hAnsi="宋体" w:cs="仿宋_GB2312"/>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pPr>
        <w:spacing w:line="360" w:lineRule="auto"/>
        <w:jc w:val="center"/>
        <w:rPr>
          <w:rFonts w:hint="eastAsia" w:ascii="宋体" w:hAnsi="宋体" w:cs="宋体"/>
          <w:b/>
          <w:bCs/>
          <w:color w:val="auto"/>
          <w:sz w:val="28"/>
          <w:szCs w:val="28"/>
          <w:highlight w:val="none"/>
        </w:rPr>
      </w:pPr>
      <w:r>
        <w:rPr>
          <w:rFonts w:ascii="宋体" w:hAnsi="宋体"/>
          <w:color w:val="auto"/>
          <w:sz w:val="24"/>
          <w:highlight w:val="none"/>
        </w:rPr>
        <w:br w:type="page"/>
      </w:r>
      <w:r>
        <w:rPr>
          <w:rFonts w:hint="eastAsia" w:ascii="宋体" w:hAnsi="宋体" w:cs="宋体"/>
          <w:b/>
          <w:bCs/>
          <w:color w:val="auto"/>
          <w:sz w:val="28"/>
          <w:szCs w:val="28"/>
          <w:highlight w:val="none"/>
        </w:rPr>
        <w:t>残疾人福利性单位声明函</w:t>
      </w:r>
    </w:p>
    <w:p>
      <w:pPr>
        <w:spacing w:line="360" w:lineRule="auto"/>
        <w:rPr>
          <w:rFonts w:hint="eastAsia" w:ascii="仿宋_GB2312" w:hAnsi="仿宋_GB2312" w:eastAsia="仿宋_GB2312" w:cs="仿宋_GB2312"/>
          <w:color w:val="auto"/>
          <w:sz w:val="32"/>
          <w:szCs w:val="32"/>
          <w:highlight w:val="none"/>
        </w:rPr>
      </w:pPr>
    </w:p>
    <w:p>
      <w:pPr>
        <w:spacing w:line="360" w:lineRule="auto"/>
        <w:ind w:firstLine="420" w:firstLineChars="200"/>
        <w:rPr>
          <w:rFonts w:hint="eastAsia" w:ascii="宋体" w:hAnsi="宋体" w:cs="仿宋_GB2312"/>
          <w:color w:val="auto"/>
          <w:szCs w:val="21"/>
          <w:highlight w:val="none"/>
        </w:rPr>
      </w:pPr>
      <w:r>
        <w:rPr>
          <w:rFonts w:hint="eastAsia" w:ascii="宋体" w:hAnsi="宋体" w:cs="仿宋_GB2312"/>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单位的</w:t>
      </w:r>
      <w:r>
        <w:rPr>
          <w:rFonts w:hint="eastAsia" w:ascii="宋体" w:hAnsi="宋体" w:cs="仿宋_GB2312"/>
          <w:color w:val="auto"/>
          <w:szCs w:val="21"/>
          <w:highlight w:val="none"/>
          <w:u w:val="single"/>
        </w:rPr>
        <w:t xml:space="preserve">        </w:t>
      </w:r>
      <w:r>
        <w:rPr>
          <w:rFonts w:hint="eastAsia" w:ascii="宋体" w:hAnsi="宋体" w:cs="仿宋_GB2312"/>
          <w:color w:val="auto"/>
          <w:szCs w:val="21"/>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cs="仿宋_GB2312"/>
          <w:color w:val="auto"/>
          <w:sz w:val="24"/>
          <w:highlight w:val="none"/>
        </w:rPr>
      </w:pPr>
      <w:r>
        <w:rPr>
          <w:rFonts w:hint="eastAsia" w:ascii="宋体" w:hAnsi="宋体" w:cs="仿宋_GB2312"/>
          <w:color w:val="auto"/>
          <w:szCs w:val="21"/>
          <w:highlight w:val="none"/>
        </w:rPr>
        <w:t>本单位对上述声明的真实性负责。如有虚假，将依法承担相应责任。</w:t>
      </w: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rPr>
        <w:t>供应商[公章（CA签章）]：</w:t>
      </w:r>
    </w:p>
    <w:p>
      <w:pPr>
        <w:spacing w:line="360" w:lineRule="auto"/>
        <w:ind w:firstLine="3150" w:firstLineChars="1500"/>
        <w:rPr>
          <w:rFonts w:hint="eastAsia" w:ascii="宋体" w:hAnsi="宋体" w:cs="仿宋_GB2312"/>
          <w:color w:val="auto"/>
          <w:szCs w:val="21"/>
          <w:highlight w:val="none"/>
        </w:rPr>
      </w:pPr>
      <w:r>
        <w:rPr>
          <w:rFonts w:hint="eastAsia" w:ascii="宋体" w:hAnsi="宋体" w:cs="仿宋_GB2312"/>
          <w:color w:val="auto"/>
          <w:szCs w:val="21"/>
          <w:highlight w:val="none"/>
        </w:rPr>
        <w:t>日  期：</w:t>
      </w: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rPr>
          <w:rFonts w:hint="eastAsia" w:ascii="宋体" w:hAnsi="宋体" w:cs="仿宋_GB2312"/>
          <w:color w:val="auto"/>
          <w:sz w:val="24"/>
          <w:highlight w:val="none"/>
        </w:rPr>
      </w:pPr>
    </w:p>
    <w:p>
      <w:pPr>
        <w:spacing w:line="360" w:lineRule="auto"/>
        <w:rPr>
          <w:rFonts w:ascii="宋体" w:hAnsi="宋体" w:cs="仿宋_GB2312"/>
          <w:color w:val="auto"/>
          <w:szCs w:val="21"/>
          <w:highlight w:val="none"/>
        </w:rPr>
      </w:pPr>
      <w:r>
        <w:rPr>
          <w:rFonts w:hint="eastAsia" w:ascii="宋体" w:hAnsi="宋体" w:cs="仿宋_GB2312"/>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hint="eastAsia" w:ascii="宋体" w:hAnsi="宋体"/>
          <w:b/>
          <w:bCs/>
          <w:color w:val="auto"/>
          <w:sz w:val="28"/>
          <w:szCs w:val="28"/>
          <w:highlight w:val="none"/>
        </w:rPr>
      </w:pPr>
      <w:r>
        <w:rPr>
          <w:rFonts w:ascii="宋体" w:hAnsi="宋体" w:cs="仿宋_GB2312"/>
          <w:color w:val="auto"/>
          <w:sz w:val="24"/>
          <w:highlight w:val="none"/>
        </w:rPr>
        <w:br w:type="page"/>
      </w:r>
      <w:r>
        <w:rPr>
          <w:rFonts w:hint="eastAsia" w:ascii="宋体" w:hAnsi="宋体"/>
          <w:b/>
          <w:bCs/>
          <w:color w:val="auto"/>
          <w:sz w:val="28"/>
          <w:szCs w:val="28"/>
          <w:highlight w:val="none"/>
        </w:rPr>
        <w:t>质疑函（格式）</w:t>
      </w:r>
    </w:p>
    <w:p>
      <w:pPr>
        <w:pStyle w:val="20"/>
        <w:snapToGrid w:val="0"/>
        <w:spacing w:line="360" w:lineRule="auto"/>
        <w:ind w:firstLine="421" w:firstLineChars="200"/>
        <w:rPr>
          <w:rFonts w:hAnsi="宋体"/>
          <w:b/>
          <w:bCs/>
          <w:color w:val="auto"/>
          <w:sz w:val="21"/>
          <w:highlight w:val="none"/>
        </w:rPr>
      </w:pPr>
      <w:r>
        <w:rPr>
          <w:rFonts w:hint="eastAsia" w:hAnsi="宋体"/>
          <w:b/>
          <w:bCs/>
          <w:color w:val="auto"/>
          <w:sz w:val="21"/>
          <w:highlight w:val="none"/>
        </w:rPr>
        <w:t>一、质疑供应商基本信息：</w:t>
      </w:r>
    </w:p>
    <w:p>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质疑供应商：</w:t>
      </w:r>
      <w:r>
        <w:rPr>
          <w:rFonts w:hint="eastAsia" w:hAnsi="宋体"/>
          <w:bCs/>
          <w:color w:val="auto"/>
          <w:sz w:val="21"/>
          <w:highlight w:val="none"/>
          <w:u w:val="single"/>
        </w:rPr>
        <w:t xml:space="preserve">                                       </w:t>
      </w:r>
      <w:r>
        <w:rPr>
          <w:rFonts w:hint="eastAsia" w:hAnsi="宋体"/>
          <w:bCs/>
          <w:color w:val="auto"/>
          <w:sz w:val="21"/>
          <w:highlight w:val="none"/>
        </w:rPr>
        <w:t xml:space="preserve">                 </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联系人</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联系电话</w:t>
      </w:r>
      <w:r>
        <w:rPr>
          <w:rFonts w:hint="eastAsia" w:hAnsi="宋体"/>
          <w:bCs/>
          <w:color w:val="auto"/>
          <w:sz w:val="21"/>
          <w:highlight w:val="none"/>
        </w:rPr>
        <w:t>：</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授权代表：</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u w:val="single"/>
        </w:rPr>
      </w:pP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pPr>
        <w:pStyle w:val="20"/>
        <w:snapToGrid w:val="0"/>
        <w:spacing w:line="360" w:lineRule="auto"/>
        <w:ind w:firstLine="421" w:firstLineChars="200"/>
        <w:rPr>
          <w:rFonts w:hint="eastAsia" w:hAnsi="宋体"/>
          <w:b/>
          <w:bCs/>
          <w:color w:val="auto"/>
          <w:sz w:val="21"/>
          <w:highlight w:val="none"/>
        </w:rPr>
      </w:pPr>
      <w:r>
        <w:rPr>
          <w:rFonts w:hint="eastAsia" w:hAnsi="宋体"/>
          <w:b/>
          <w:bCs/>
          <w:color w:val="auto"/>
          <w:sz w:val="21"/>
          <w:highlight w:val="none"/>
        </w:rPr>
        <w:t>二、质疑项目基本情况：</w:t>
      </w:r>
    </w:p>
    <w:p>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质疑</w:t>
      </w:r>
      <w:r>
        <w:rPr>
          <w:rFonts w:hint="eastAsia" w:hAnsi="宋体"/>
          <w:color w:val="auto"/>
          <w:sz w:val="21"/>
          <w:highlight w:val="none"/>
        </w:rPr>
        <w:t>项目的名称：</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质疑</w:t>
      </w:r>
      <w:r>
        <w:rPr>
          <w:rFonts w:hint="eastAsia" w:hAnsi="宋体"/>
          <w:color w:val="auto"/>
          <w:sz w:val="21"/>
          <w:highlight w:val="none"/>
        </w:rPr>
        <w:t>项目的编号：</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采购人名称：</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质疑事项：</w:t>
      </w:r>
    </w:p>
    <w:p>
      <w:pPr>
        <w:pStyle w:val="20"/>
        <w:spacing w:line="360" w:lineRule="auto"/>
        <w:ind w:left="25" w:leftChars="12" w:firstLine="308" w:firstLineChars="147"/>
        <w:rPr>
          <w:rFonts w:hint="eastAsia" w:hAnsi="宋体"/>
          <w:color w:val="auto"/>
          <w:sz w:val="21"/>
          <w:highlight w:val="none"/>
        </w:rPr>
      </w:pPr>
      <w:r>
        <w:rPr>
          <w:rFonts w:hint="eastAsia" w:hAnsi="宋体"/>
          <w:color w:val="auto"/>
          <w:sz w:val="21"/>
          <w:highlight w:val="none"/>
        </w:rPr>
        <w:t>□采购文件   采购文件获取日期：</w:t>
      </w:r>
      <w:r>
        <w:rPr>
          <w:rFonts w:hint="eastAsia" w:hAnsi="宋体"/>
          <w:bCs/>
          <w:color w:val="auto"/>
          <w:sz w:val="21"/>
          <w:highlight w:val="none"/>
          <w:u w:val="single"/>
        </w:rPr>
        <w:t xml:space="preserve">                                   </w:t>
      </w:r>
    </w:p>
    <w:p>
      <w:pPr>
        <w:pStyle w:val="20"/>
        <w:spacing w:line="360" w:lineRule="auto"/>
        <w:ind w:left="25" w:leftChars="12" w:firstLine="308" w:firstLineChars="147"/>
        <w:rPr>
          <w:rFonts w:hint="eastAsia" w:hAnsi="宋体"/>
          <w:color w:val="auto"/>
          <w:sz w:val="21"/>
          <w:highlight w:val="none"/>
        </w:rPr>
      </w:pPr>
      <w:r>
        <w:rPr>
          <w:rFonts w:hint="eastAsia" w:hAnsi="宋体"/>
          <w:color w:val="auto"/>
          <w:sz w:val="21"/>
          <w:highlight w:val="none"/>
        </w:rPr>
        <w:t xml:space="preserve">□采购过程   </w:t>
      </w:r>
    </w:p>
    <w:p>
      <w:pPr>
        <w:pStyle w:val="20"/>
        <w:spacing w:line="360" w:lineRule="auto"/>
        <w:ind w:left="25" w:leftChars="12" w:firstLine="308" w:firstLineChars="147"/>
        <w:rPr>
          <w:rFonts w:hint="eastAsia" w:hAnsi="宋体"/>
          <w:bCs/>
          <w:color w:val="auto"/>
          <w:sz w:val="21"/>
          <w:highlight w:val="none"/>
          <w:u w:val="single"/>
        </w:rPr>
      </w:pPr>
      <w:r>
        <w:rPr>
          <w:rFonts w:hint="eastAsia" w:hAnsi="宋体"/>
          <w:color w:val="auto"/>
          <w:sz w:val="21"/>
          <w:highlight w:val="none"/>
        </w:rPr>
        <w:t xml:space="preserve">□成交结果   </w:t>
      </w:r>
    </w:p>
    <w:p>
      <w:pPr>
        <w:pStyle w:val="20"/>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三、质疑事项具体内容</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质疑事项1：</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事实依据：</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法律依据：</w:t>
      </w:r>
      <w:r>
        <w:rPr>
          <w:rFonts w:hint="eastAsia" w:hAnsi="宋体"/>
          <w:color w:val="auto"/>
          <w:sz w:val="21"/>
          <w:highlight w:val="none"/>
          <w:u w:val="single"/>
        </w:rPr>
        <w:t xml:space="preserve">                                                        </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质疑事项2</w:t>
      </w:r>
    </w:p>
    <w:p>
      <w:pPr>
        <w:pStyle w:val="20"/>
        <w:spacing w:line="360" w:lineRule="auto"/>
        <w:ind w:left="25" w:leftChars="12" w:firstLine="413" w:firstLineChars="197"/>
        <w:rPr>
          <w:rFonts w:hint="eastAsia" w:hAnsi="宋体"/>
          <w:color w:val="auto"/>
          <w:sz w:val="21"/>
          <w:highlight w:val="none"/>
        </w:rPr>
      </w:pPr>
      <w:r>
        <w:rPr>
          <w:rFonts w:hAnsi="宋体"/>
          <w:color w:val="auto"/>
          <w:sz w:val="21"/>
          <w:highlight w:val="none"/>
        </w:rPr>
        <w:t>……</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四、与质疑事项相关的质疑请求：</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请求：</w:t>
      </w:r>
      <w:r>
        <w:rPr>
          <w:rFonts w:hint="eastAsia" w:hAnsi="宋体"/>
          <w:bCs/>
          <w:color w:val="auto"/>
          <w:sz w:val="21"/>
          <w:highlight w:val="none"/>
          <w:u w:val="single"/>
        </w:rPr>
        <w:t xml:space="preserve">                                                                </w:t>
      </w:r>
    </w:p>
    <w:p>
      <w:pPr>
        <w:pStyle w:val="20"/>
        <w:spacing w:line="360" w:lineRule="auto"/>
        <w:ind w:left="25" w:leftChars="12" w:firstLine="308" w:firstLineChars="147"/>
        <w:rPr>
          <w:rFonts w:hint="eastAsia" w:hAnsi="宋体"/>
          <w:color w:val="auto"/>
          <w:sz w:val="21"/>
          <w:highlight w:val="none"/>
        </w:rPr>
      </w:pP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签字（签章）：                                       公章：</w:t>
      </w:r>
    </w:p>
    <w:p>
      <w:pPr>
        <w:pStyle w:val="20"/>
        <w:spacing w:line="360" w:lineRule="auto"/>
        <w:ind w:left="25" w:leftChars="12" w:firstLine="308" w:firstLineChars="147"/>
        <w:rPr>
          <w:rFonts w:hint="eastAsia" w:hAnsi="宋体"/>
          <w:color w:val="auto"/>
          <w:sz w:val="21"/>
          <w:highlight w:val="none"/>
        </w:rPr>
      </w:pP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日期：</w:t>
      </w:r>
    </w:p>
    <w:p>
      <w:pPr>
        <w:pStyle w:val="20"/>
        <w:snapToGrid w:val="0"/>
        <w:spacing w:line="360" w:lineRule="auto"/>
        <w:rPr>
          <w:rFonts w:hint="eastAsia" w:hAnsi="宋体"/>
          <w:b/>
          <w:color w:val="auto"/>
          <w:sz w:val="24"/>
          <w:szCs w:val="24"/>
          <w:highlight w:val="none"/>
        </w:rPr>
      </w:pPr>
    </w:p>
    <w:p>
      <w:pPr>
        <w:pStyle w:val="20"/>
        <w:snapToGrid w:val="0"/>
        <w:spacing w:line="360" w:lineRule="auto"/>
        <w:rPr>
          <w:rFonts w:hint="eastAsia" w:hAnsi="宋体"/>
          <w:b/>
          <w:color w:val="auto"/>
          <w:sz w:val="21"/>
          <w:highlight w:val="none"/>
        </w:rPr>
      </w:pPr>
      <w:r>
        <w:rPr>
          <w:rFonts w:hint="eastAsia" w:hAnsi="宋体"/>
          <w:b/>
          <w:color w:val="auto"/>
          <w:sz w:val="21"/>
          <w:highlight w:val="none"/>
        </w:rPr>
        <w:br w:type="page"/>
      </w:r>
      <w:r>
        <w:rPr>
          <w:rFonts w:hint="eastAsia" w:hAnsi="宋体"/>
          <w:b/>
          <w:color w:val="auto"/>
          <w:sz w:val="21"/>
          <w:highlight w:val="none"/>
        </w:rPr>
        <w:t>说明：</w:t>
      </w:r>
    </w:p>
    <w:p>
      <w:pPr>
        <w:pStyle w:val="20"/>
        <w:spacing w:line="360" w:lineRule="auto"/>
        <w:ind w:left="25" w:leftChars="12" w:firstLine="309" w:firstLineChars="147"/>
        <w:rPr>
          <w:rFonts w:hint="eastAsia" w:hAnsi="宋体"/>
          <w:b/>
          <w:bCs/>
          <w:color w:val="auto"/>
          <w:sz w:val="21"/>
          <w:highlight w:val="none"/>
        </w:rPr>
      </w:pPr>
      <w:r>
        <w:rPr>
          <w:rFonts w:hint="eastAsia" w:hAnsi="宋体"/>
          <w:b/>
          <w:color w:val="auto"/>
          <w:sz w:val="21"/>
          <w:highlight w:val="none"/>
        </w:rPr>
        <w:t>1.供应商提出质疑时，应提交质疑函和必要的证明材料</w:t>
      </w:r>
      <w:r>
        <w:rPr>
          <w:rFonts w:hint="eastAsia" w:hAnsi="宋体"/>
          <w:b/>
          <w:bCs/>
          <w:color w:val="auto"/>
          <w:sz w:val="21"/>
          <w:highlight w:val="none"/>
        </w:rPr>
        <w:t>。</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3.质疑函的质疑事项应具体、明确，并有必要的事实依据和法律依据。</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4.质疑函的质疑请求应与质疑事项相关。</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5.质疑供应商为法人或者其他组织的，质疑函应由法定代表人、主要负责人，或者其授权代表签字或者盖章，并加盖公章。</w:t>
      </w:r>
    </w:p>
    <w:p>
      <w:pPr>
        <w:pStyle w:val="20"/>
        <w:snapToGrid w:val="0"/>
        <w:rPr>
          <w:rFonts w:hint="eastAsia"/>
          <w:b/>
          <w:color w:val="auto"/>
          <w:sz w:val="24"/>
          <w:szCs w:val="24"/>
          <w:highlight w:val="none"/>
        </w:rPr>
      </w:pPr>
    </w:p>
    <w:p>
      <w:pPr>
        <w:spacing w:line="460" w:lineRule="exact"/>
        <w:jc w:val="center"/>
        <w:rPr>
          <w:rFonts w:hint="eastAsia" w:ascii="宋体" w:hAnsi="宋体"/>
          <w:b/>
          <w:bCs/>
          <w:color w:val="auto"/>
          <w:sz w:val="28"/>
          <w:szCs w:val="28"/>
          <w:highlight w:val="none"/>
        </w:rPr>
      </w:pPr>
      <w:r>
        <w:rPr>
          <w:rFonts w:eastAsia="隶书"/>
          <w:color w:val="auto"/>
          <w:sz w:val="44"/>
          <w:highlight w:val="none"/>
        </w:rPr>
        <w:br w:type="page"/>
      </w:r>
      <w:r>
        <w:rPr>
          <w:rFonts w:hint="eastAsia" w:ascii="宋体" w:hAnsi="宋体"/>
          <w:b/>
          <w:bCs/>
          <w:color w:val="auto"/>
          <w:sz w:val="28"/>
          <w:szCs w:val="28"/>
          <w:highlight w:val="none"/>
        </w:rPr>
        <w:t>投诉书（格式）</w:t>
      </w:r>
    </w:p>
    <w:p>
      <w:pPr>
        <w:pStyle w:val="20"/>
        <w:snapToGrid w:val="0"/>
        <w:spacing w:line="360" w:lineRule="auto"/>
        <w:ind w:firstLine="481" w:firstLineChars="200"/>
        <w:rPr>
          <w:rFonts w:hint="eastAsia" w:hAnsi="宋体"/>
          <w:b/>
          <w:bCs/>
          <w:color w:val="auto"/>
          <w:sz w:val="24"/>
          <w:szCs w:val="24"/>
          <w:highlight w:val="none"/>
        </w:rPr>
      </w:pPr>
    </w:p>
    <w:p>
      <w:pPr>
        <w:pStyle w:val="20"/>
        <w:snapToGrid w:val="0"/>
        <w:spacing w:line="360" w:lineRule="auto"/>
        <w:ind w:firstLine="421" w:firstLineChars="200"/>
        <w:rPr>
          <w:rFonts w:hAnsi="宋体"/>
          <w:b/>
          <w:bCs/>
          <w:color w:val="auto"/>
          <w:sz w:val="21"/>
          <w:highlight w:val="none"/>
        </w:rPr>
      </w:pPr>
      <w:r>
        <w:rPr>
          <w:rFonts w:hint="eastAsia" w:hAnsi="宋体"/>
          <w:b/>
          <w:bCs/>
          <w:color w:val="auto"/>
          <w:sz w:val="21"/>
          <w:highlight w:val="none"/>
        </w:rPr>
        <w:t>一、投诉相关主体基本情况：</w:t>
      </w:r>
    </w:p>
    <w:p>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供应商：</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法定代表人/主要负责人：</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联系电话</w:t>
      </w:r>
      <w:r>
        <w:rPr>
          <w:rFonts w:hint="eastAsia" w:hAnsi="宋体"/>
          <w:bCs/>
          <w:color w:val="auto"/>
          <w:sz w:val="21"/>
          <w:highlight w:val="none"/>
        </w:rPr>
        <w:t>：</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授权代表：</w:t>
      </w:r>
      <w:r>
        <w:rPr>
          <w:rFonts w:hint="eastAsia" w:hAnsi="宋体"/>
          <w:bCs/>
          <w:color w:val="auto"/>
          <w:sz w:val="21"/>
          <w:highlight w:val="none"/>
          <w:u w:val="single"/>
        </w:rPr>
        <w:t xml:space="preserve">                                         </w:t>
      </w: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被投诉人1：</w:t>
      </w:r>
    </w:p>
    <w:p>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地址：</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r>
        <w:rPr>
          <w:rFonts w:hint="eastAsia" w:hAnsi="宋体"/>
          <w:bCs/>
          <w:color w:val="auto"/>
          <w:sz w:val="21"/>
          <w:highlight w:val="none"/>
        </w:rPr>
        <w:t xml:space="preserve">  </w:t>
      </w:r>
    </w:p>
    <w:p>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联系人：</w:t>
      </w:r>
      <w:r>
        <w:rPr>
          <w:rFonts w:hint="eastAsia" w:hAnsi="宋体"/>
          <w:bCs/>
          <w:color w:val="auto"/>
          <w:sz w:val="21"/>
          <w:highlight w:val="none"/>
          <w:u w:val="single"/>
        </w:rPr>
        <w:t xml:space="preserve">                                                </w:t>
      </w: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被投诉人2：</w:t>
      </w:r>
    </w:p>
    <w:p>
      <w:pPr>
        <w:pStyle w:val="20"/>
        <w:snapToGrid w:val="0"/>
        <w:spacing w:line="360" w:lineRule="auto"/>
        <w:ind w:firstLine="420" w:firstLineChars="200"/>
        <w:rPr>
          <w:rFonts w:hint="eastAsia" w:hAnsi="宋体"/>
          <w:bCs/>
          <w:color w:val="auto"/>
          <w:sz w:val="21"/>
          <w:highlight w:val="none"/>
        </w:rPr>
      </w:pPr>
      <w:r>
        <w:rPr>
          <w:rFonts w:hAnsi="宋体"/>
          <w:bCs/>
          <w:color w:val="auto"/>
          <w:sz w:val="21"/>
          <w:highlight w:val="none"/>
        </w:rPr>
        <w:t>……</w:t>
      </w:r>
    </w:p>
    <w:p>
      <w:pPr>
        <w:pStyle w:val="20"/>
        <w:snapToGrid w:val="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相关供应商：</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u w:val="single"/>
        </w:rPr>
      </w:pPr>
      <w:r>
        <w:rPr>
          <w:rFonts w:hAnsi="宋体"/>
          <w:bCs/>
          <w:color w:val="auto"/>
          <w:sz w:val="21"/>
          <w:highlight w:val="none"/>
        </w:rPr>
        <w:t>地址</w:t>
      </w:r>
      <w:r>
        <w:rPr>
          <w:rFonts w:hint="eastAsia" w:hAnsi="宋体"/>
          <w:bCs/>
          <w:color w:val="auto"/>
          <w:sz w:val="21"/>
          <w:highlight w:val="none"/>
        </w:rPr>
        <w:t>：</w:t>
      </w:r>
      <w:r>
        <w:rPr>
          <w:rFonts w:hint="eastAsia" w:hAnsi="宋体"/>
          <w:bCs/>
          <w:color w:val="auto"/>
          <w:sz w:val="21"/>
          <w:highlight w:val="none"/>
          <w:u w:val="single"/>
        </w:rPr>
        <w:t xml:space="preserve">                                              </w:t>
      </w:r>
      <w:r>
        <w:rPr>
          <w:rFonts w:hAnsi="宋体"/>
          <w:bCs/>
          <w:color w:val="auto"/>
          <w:sz w:val="21"/>
          <w:highlight w:val="none"/>
        </w:rPr>
        <w:t>邮编</w:t>
      </w:r>
      <w:r>
        <w:rPr>
          <w:rFonts w:hint="eastAsia" w:hAnsi="宋体"/>
          <w:bCs/>
          <w:color w:val="auto"/>
          <w:sz w:val="21"/>
          <w:highlight w:val="none"/>
        </w:rPr>
        <w:t>：</w:t>
      </w:r>
      <w:r>
        <w:rPr>
          <w:rFonts w:hint="eastAsia" w:hAnsi="宋体"/>
          <w:bCs/>
          <w:color w:val="auto"/>
          <w:sz w:val="21"/>
          <w:highlight w:val="none"/>
          <w:u w:val="single"/>
        </w:rPr>
        <w:t xml:space="preserve">            </w:t>
      </w:r>
    </w:p>
    <w:p>
      <w:pPr>
        <w:pStyle w:val="20"/>
        <w:snapToGrid w:val="0"/>
        <w:spacing w:line="360" w:lineRule="auto"/>
        <w:ind w:firstLine="420" w:firstLineChars="200"/>
        <w:rPr>
          <w:rFonts w:hint="eastAsia" w:hAnsi="宋体"/>
          <w:bCs/>
          <w:color w:val="auto"/>
          <w:sz w:val="21"/>
          <w:highlight w:val="none"/>
        </w:rPr>
      </w:pPr>
      <w:r>
        <w:rPr>
          <w:rFonts w:hint="eastAsia" w:hAnsi="宋体"/>
          <w:bCs/>
          <w:color w:val="auto"/>
          <w:sz w:val="21"/>
          <w:highlight w:val="none"/>
        </w:rPr>
        <w:t>联系人：</w:t>
      </w:r>
      <w:r>
        <w:rPr>
          <w:rFonts w:hint="eastAsia" w:hAnsi="宋体"/>
          <w:bCs/>
          <w:color w:val="auto"/>
          <w:sz w:val="21"/>
          <w:highlight w:val="none"/>
          <w:u w:val="single"/>
        </w:rPr>
        <w:t xml:space="preserve">                                            </w:t>
      </w:r>
      <w:r>
        <w:rPr>
          <w:rFonts w:hAnsi="宋体"/>
          <w:bCs/>
          <w:color w:val="auto"/>
          <w:sz w:val="21"/>
          <w:highlight w:val="none"/>
        </w:rPr>
        <w:t>联系</w:t>
      </w:r>
      <w:r>
        <w:rPr>
          <w:rFonts w:hint="eastAsia" w:hAnsi="宋体"/>
          <w:bCs/>
          <w:color w:val="auto"/>
          <w:sz w:val="21"/>
          <w:highlight w:val="none"/>
        </w:rPr>
        <w:t>电话：</w:t>
      </w:r>
      <w:r>
        <w:rPr>
          <w:rFonts w:hint="eastAsia" w:hAnsi="宋体"/>
          <w:bCs/>
          <w:color w:val="auto"/>
          <w:sz w:val="21"/>
          <w:highlight w:val="none"/>
          <w:u w:val="single"/>
        </w:rPr>
        <w:t xml:space="preserve">        </w:t>
      </w:r>
    </w:p>
    <w:p>
      <w:pPr>
        <w:pStyle w:val="20"/>
        <w:snapToGrid w:val="0"/>
        <w:spacing w:line="360" w:lineRule="auto"/>
        <w:ind w:firstLine="421" w:firstLineChars="200"/>
        <w:rPr>
          <w:rFonts w:hint="eastAsia" w:hAnsi="宋体"/>
          <w:b/>
          <w:bCs/>
          <w:color w:val="auto"/>
          <w:sz w:val="21"/>
          <w:highlight w:val="none"/>
        </w:rPr>
      </w:pPr>
      <w:r>
        <w:rPr>
          <w:rFonts w:hint="eastAsia" w:hAnsi="宋体"/>
          <w:b/>
          <w:bCs/>
          <w:color w:val="auto"/>
          <w:sz w:val="21"/>
          <w:highlight w:val="none"/>
        </w:rPr>
        <w:t>二、投诉项目基本情况：</w:t>
      </w:r>
    </w:p>
    <w:p>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采购</w:t>
      </w:r>
      <w:r>
        <w:rPr>
          <w:rFonts w:hint="eastAsia" w:hAnsi="宋体"/>
          <w:color w:val="auto"/>
          <w:sz w:val="21"/>
          <w:highlight w:val="none"/>
        </w:rPr>
        <w:t>项目的名称：</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rPr>
        <w:t>采购</w:t>
      </w:r>
      <w:r>
        <w:rPr>
          <w:rFonts w:hint="eastAsia" w:hAnsi="宋体"/>
          <w:color w:val="auto"/>
          <w:sz w:val="21"/>
          <w:highlight w:val="none"/>
        </w:rPr>
        <w:t>项目的编号：</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bCs/>
          <w:color w:val="auto"/>
          <w:sz w:val="21"/>
          <w:highlight w:val="none"/>
          <w:u w:val="single"/>
        </w:rPr>
      </w:pPr>
      <w:r>
        <w:rPr>
          <w:rFonts w:hint="eastAsia" w:hAnsi="宋体"/>
          <w:color w:val="auto"/>
          <w:sz w:val="21"/>
          <w:highlight w:val="none"/>
        </w:rPr>
        <w:t>采购人名称：</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bCs/>
          <w:color w:val="auto"/>
          <w:sz w:val="21"/>
          <w:highlight w:val="none"/>
          <w:u w:val="single"/>
        </w:rPr>
      </w:pPr>
      <w:r>
        <w:rPr>
          <w:rFonts w:hint="eastAsia" w:hAnsi="宋体"/>
          <w:color w:val="auto"/>
          <w:sz w:val="21"/>
          <w:highlight w:val="none"/>
        </w:rPr>
        <w:t>代理机构名称：</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bCs/>
          <w:color w:val="auto"/>
          <w:sz w:val="21"/>
          <w:highlight w:val="none"/>
          <w:u w:val="single"/>
        </w:rPr>
      </w:pPr>
      <w:r>
        <w:rPr>
          <w:rFonts w:hint="eastAsia" w:hAnsi="宋体"/>
          <w:bCs/>
          <w:color w:val="auto"/>
          <w:sz w:val="21"/>
          <w:highlight w:val="none"/>
        </w:rPr>
        <w:t>采购文件公告：</w:t>
      </w:r>
      <w:r>
        <w:rPr>
          <w:rFonts w:hint="eastAsia" w:hAnsi="宋体"/>
          <w:bCs/>
          <w:color w:val="auto"/>
          <w:sz w:val="21"/>
          <w:highlight w:val="none"/>
          <w:u w:val="single"/>
        </w:rPr>
        <w:t>是/否</w:t>
      </w:r>
      <w:r>
        <w:rPr>
          <w:rFonts w:hint="eastAsia" w:hAnsi="宋体"/>
          <w:bCs/>
          <w:color w:val="auto"/>
          <w:sz w:val="21"/>
          <w:highlight w:val="none"/>
        </w:rPr>
        <w:t>公告期限：</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b/>
          <w:color w:val="auto"/>
          <w:sz w:val="21"/>
          <w:highlight w:val="none"/>
        </w:rPr>
      </w:pPr>
      <w:r>
        <w:rPr>
          <w:rFonts w:hint="eastAsia" w:hAnsi="宋体"/>
          <w:bCs/>
          <w:color w:val="auto"/>
          <w:sz w:val="21"/>
          <w:highlight w:val="none"/>
        </w:rPr>
        <w:t>采购结果公告：</w:t>
      </w:r>
      <w:r>
        <w:rPr>
          <w:rFonts w:hint="eastAsia" w:hAnsi="宋体"/>
          <w:bCs/>
          <w:color w:val="auto"/>
          <w:sz w:val="21"/>
          <w:highlight w:val="none"/>
          <w:u w:val="single"/>
        </w:rPr>
        <w:t>是/否</w:t>
      </w:r>
      <w:r>
        <w:rPr>
          <w:rFonts w:hint="eastAsia" w:hAnsi="宋体"/>
          <w:bCs/>
          <w:color w:val="auto"/>
          <w:sz w:val="21"/>
          <w:highlight w:val="none"/>
        </w:rPr>
        <w:t>公告期限：</w:t>
      </w:r>
      <w:r>
        <w:rPr>
          <w:rFonts w:hint="eastAsia" w:hAnsi="宋体"/>
          <w:bCs/>
          <w:color w:val="auto"/>
          <w:sz w:val="21"/>
          <w:highlight w:val="none"/>
          <w:u w:val="single"/>
        </w:rPr>
        <w:t xml:space="preserve">                                         </w:t>
      </w:r>
    </w:p>
    <w:p>
      <w:pPr>
        <w:pStyle w:val="20"/>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三、质疑基本情况</w:t>
      </w:r>
    </w:p>
    <w:p>
      <w:pPr>
        <w:pStyle w:val="20"/>
        <w:spacing w:line="360" w:lineRule="auto"/>
        <w:ind w:left="25" w:leftChars="12" w:firstLine="833" w:firstLineChars="397"/>
        <w:rPr>
          <w:rFonts w:hint="eastAsia" w:hAnsi="宋体"/>
          <w:color w:val="auto"/>
          <w:sz w:val="21"/>
          <w:highlight w:val="none"/>
        </w:rPr>
      </w:pPr>
      <w:r>
        <w:rPr>
          <w:rFonts w:hint="eastAsia" w:hAnsi="宋体"/>
          <w:color w:val="auto"/>
          <w:sz w:val="21"/>
          <w:highlight w:val="none"/>
        </w:rPr>
        <w:t>投诉人于</w:t>
      </w:r>
      <w:r>
        <w:rPr>
          <w:rFonts w:hint="eastAsia" w:hAnsi="宋体"/>
          <w:color w:val="auto"/>
          <w:sz w:val="21"/>
          <w:highlight w:val="none"/>
          <w:u w:val="single"/>
        </w:rPr>
        <w:t xml:space="preserve">      </w:t>
      </w:r>
      <w:r>
        <w:rPr>
          <w:rFonts w:hint="eastAsia" w:hAnsi="宋体"/>
          <w:color w:val="auto"/>
          <w:sz w:val="21"/>
          <w:highlight w:val="none"/>
        </w:rPr>
        <w:t>年</w:t>
      </w:r>
      <w:r>
        <w:rPr>
          <w:rFonts w:hint="eastAsia" w:hAnsi="宋体"/>
          <w:color w:val="auto"/>
          <w:sz w:val="21"/>
          <w:highlight w:val="none"/>
          <w:u w:val="single"/>
        </w:rPr>
        <w:t xml:space="preserve">   </w:t>
      </w:r>
      <w:r>
        <w:rPr>
          <w:rFonts w:hint="eastAsia" w:hAnsi="宋体"/>
          <w:color w:val="auto"/>
          <w:sz w:val="21"/>
          <w:highlight w:val="none"/>
        </w:rPr>
        <w:t>月</w:t>
      </w:r>
      <w:r>
        <w:rPr>
          <w:rFonts w:hint="eastAsia" w:hAnsi="宋体"/>
          <w:color w:val="auto"/>
          <w:sz w:val="21"/>
          <w:highlight w:val="none"/>
          <w:u w:val="single"/>
        </w:rPr>
        <w:t xml:space="preserve">   </w:t>
      </w:r>
      <w:r>
        <w:rPr>
          <w:rFonts w:hint="eastAsia" w:hAnsi="宋体"/>
          <w:color w:val="auto"/>
          <w:sz w:val="21"/>
          <w:highlight w:val="none"/>
        </w:rPr>
        <w:t>日，向</w:t>
      </w:r>
      <w:r>
        <w:rPr>
          <w:rFonts w:hint="eastAsia" w:hAnsi="宋体"/>
          <w:color w:val="auto"/>
          <w:sz w:val="21"/>
          <w:highlight w:val="none"/>
          <w:u w:val="single"/>
        </w:rPr>
        <w:t xml:space="preserve">                                </w:t>
      </w:r>
      <w:r>
        <w:rPr>
          <w:rFonts w:hint="eastAsia" w:hAnsi="宋体"/>
          <w:color w:val="auto"/>
          <w:sz w:val="21"/>
          <w:highlight w:val="none"/>
        </w:rPr>
        <w:t>提出质疑，质疑事项为：</w:t>
      </w:r>
    </w:p>
    <w:p>
      <w:pPr>
        <w:pStyle w:val="20"/>
        <w:spacing w:line="360" w:lineRule="auto"/>
        <w:ind w:firstLine="241"/>
        <w:rPr>
          <w:rFonts w:hint="eastAsia" w:hAnsi="宋体"/>
          <w:bCs/>
          <w:color w:val="auto"/>
          <w:sz w:val="21"/>
          <w:highlight w:val="none"/>
          <w:u w:val="single"/>
        </w:rPr>
      </w:pPr>
      <w:r>
        <w:rPr>
          <w:rFonts w:hint="eastAsia" w:hAnsi="宋体"/>
          <w:color w:val="auto"/>
          <w:sz w:val="21"/>
          <w:highlight w:val="none"/>
        </w:rPr>
        <w:t xml:space="preserve">    </w:t>
      </w:r>
      <w:r>
        <w:rPr>
          <w:rFonts w:hint="eastAsia" w:hAnsi="宋体"/>
          <w:bCs/>
          <w:color w:val="auto"/>
          <w:sz w:val="21"/>
          <w:highlight w:val="none"/>
          <w:u w:val="single"/>
        </w:rPr>
        <w:t xml:space="preserve">                                                                    </w:t>
      </w:r>
    </w:p>
    <w:p>
      <w:pPr>
        <w:pStyle w:val="20"/>
        <w:spacing w:line="360" w:lineRule="auto"/>
        <w:ind w:firstLine="241"/>
        <w:rPr>
          <w:rFonts w:hint="eastAsia" w:hAnsi="宋体"/>
          <w:bCs/>
          <w:color w:val="auto"/>
          <w:sz w:val="21"/>
          <w:highlight w:val="none"/>
          <w:u w:val="single"/>
        </w:rPr>
      </w:pPr>
      <w:r>
        <w:rPr>
          <w:rFonts w:hint="eastAsia" w:hAnsi="宋体"/>
          <w:bCs/>
          <w:color w:val="auto"/>
          <w:sz w:val="21"/>
          <w:highlight w:val="none"/>
        </w:rPr>
        <w:t xml:space="preserve">    </w:t>
      </w:r>
      <w:r>
        <w:rPr>
          <w:rFonts w:hint="eastAsia" w:hAnsi="宋体"/>
          <w:bCs/>
          <w:color w:val="auto"/>
          <w:sz w:val="21"/>
          <w:highlight w:val="none"/>
          <w:u w:val="single"/>
        </w:rPr>
        <w:t xml:space="preserve">                                                                    </w:t>
      </w:r>
    </w:p>
    <w:p>
      <w:pPr>
        <w:pStyle w:val="20"/>
        <w:spacing w:line="360" w:lineRule="auto"/>
        <w:ind w:firstLine="241"/>
        <w:rPr>
          <w:rFonts w:hint="eastAsia" w:hAnsi="宋体"/>
          <w:color w:val="auto"/>
          <w:sz w:val="21"/>
          <w:highlight w:val="none"/>
        </w:rPr>
      </w:pPr>
      <w:r>
        <w:rPr>
          <w:rFonts w:hint="eastAsia" w:hAnsi="宋体"/>
          <w:bCs/>
          <w:color w:val="auto"/>
          <w:sz w:val="21"/>
          <w:highlight w:val="none"/>
        </w:rPr>
        <w:t xml:space="preserve">        </w:t>
      </w:r>
      <w:r>
        <w:rPr>
          <w:rFonts w:hint="eastAsia" w:hAnsi="宋体"/>
          <w:bCs/>
          <w:color w:val="auto"/>
          <w:sz w:val="21"/>
          <w:highlight w:val="none"/>
          <w:u w:val="single"/>
        </w:rPr>
        <w:t>采购人/代理机构</w:t>
      </w:r>
      <w:r>
        <w:rPr>
          <w:rFonts w:hint="eastAsia" w:hAnsi="宋体"/>
          <w:bCs/>
          <w:color w:val="auto"/>
          <w:sz w:val="21"/>
          <w:highlight w:val="none"/>
        </w:rPr>
        <w:t>于</w:t>
      </w:r>
      <w:r>
        <w:rPr>
          <w:rFonts w:hint="eastAsia" w:hAnsi="宋体"/>
          <w:color w:val="auto"/>
          <w:sz w:val="21"/>
          <w:highlight w:val="none"/>
          <w:u w:val="single"/>
        </w:rPr>
        <w:t xml:space="preserve">      </w:t>
      </w:r>
      <w:r>
        <w:rPr>
          <w:rFonts w:hint="eastAsia" w:hAnsi="宋体"/>
          <w:color w:val="auto"/>
          <w:sz w:val="21"/>
          <w:highlight w:val="none"/>
        </w:rPr>
        <w:t>年</w:t>
      </w:r>
      <w:r>
        <w:rPr>
          <w:rFonts w:hint="eastAsia" w:hAnsi="宋体"/>
          <w:color w:val="auto"/>
          <w:sz w:val="21"/>
          <w:highlight w:val="none"/>
          <w:u w:val="single"/>
        </w:rPr>
        <w:t xml:space="preserve">   </w:t>
      </w:r>
      <w:r>
        <w:rPr>
          <w:rFonts w:hint="eastAsia" w:hAnsi="宋体"/>
          <w:color w:val="auto"/>
          <w:sz w:val="21"/>
          <w:highlight w:val="none"/>
        </w:rPr>
        <w:t>月</w:t>
      </w:r>
      <w:r>
        <w:rPr>
          <w:rFonts w:hint="eastAsia" w:hAnsi="宋体"/>
          <w:color w:val="auto"/>
          <w:sz w:val="21"/>
          <w:highlight w:val="none"/>
          <w:u w:val="single"/>
        </w:rPr>
        <w:t xml:space="preserve">   </w:t>
      </w:r>
      <w:r>
        <w:rPr>
          <w:rFonts w:hint="eastAsia" w:hAnsi="宋体"/>
          <w:color w:val="auto"/>
          <w:sz w:val="21"/>
          <w:highlight w:val="none"/>
        </w:rPr>
        <w:t>日，</w:t>
      </w:r>
      <w:r>
        <w:rPr>
          <w:rFonts w:hint="eastAsia" w:hAnsi="宋体"/>
          <w:bCs/>
          <w:color w:val="auto"/>
          <w:sz w:val="21"/>
          <w:highlight w:val="none"/>
        </w:rPr>
        <w:t>就质疑事项作出了答复/没有在法定期限内作出答复。</w:t>
      </w:r>
    </w:p>
    <w:p>
      <w:pPr>
        <w:pStyle w:val="20"/>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四、投诉事项具体内容</w:t>
      </w:r>
    </w:p>
    <w:p>
      <w:pPr>
        <w:pStyle w:val="20"/>
        <w:spacing w:line="360" w:lineRule="auto"/>
        <w:ind w:left="25" w:leftChars="12" w:firstLine="413" w:firstLineChars="197"/>
        <w:rPr>
          <w:rFonts w:hint="eastAsia" w:hAnsi="宋体"/>
          <w:bCs/>
          <w:color w:val="auto"/>
          <w:sz w:val="21"/>
          <w:highlight w:val="none"/>
          <w:u w:val="single"/>
        </w:rPr>
      </w:pPr>
      <w:r>
        <w:rPr>
          <w:rFonts w:hint="eastAsia" w:hAnsi="宋体"/>
          <w:color w:val="auto"/>
          <w:sz w:val="21"/>
          <w:highlight w:val="none"/>
        </w:rPr>
        <w:t>投诉事项1：</w:t>
      </w:r>
      <w:r>
        <w:rPr>
          <w:rFonts w:hint="eastAsia" w:hAnsi="宋体"/>
          <w:bCs/>
          <w:color w:val="auto"/>
          <w:sz w:val="21"/>
          <w:highlight w:val="none"/>
          <w:u w:val="single"/>
        </w:rPr>
        <w:t xml:space="preserve">                                                          </w:t>
      </w:r>
    </w:p>
    <w:p>
      <w:pPr>
        <w:pStyle w:val="2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事实依据：</w:t>
      </w:r>
      <w:r>
        <w:rPr>
          <w:rFonts w:hint="eastAsia" w:hAnsi="宋体"/>
          <w:color w:val="auto"/>
          <w:sz w:val="21"/>
          <w:highlight w:val="none"/>
        </w:rPr>
        <w:t xml:space="preserve"> </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color w:val="auto"/>
          <w:sz w:val="21"/>
          <w:highlight w:val="none"/>
        </w:rPr>
      </w:pPr>
      <w:r>
        <w:rPr>
          <w:rFonts w:hint="eastAsia" w:hAnsi="宋体"/>
          <w:bCs/>
          <w:color w:val="auto"/>
          <w:sz w:val="21"/>
          <w:highlight w:val="none"/>
          <w:u w:val="single"/>
        </w:rPr>
        <w:t xml:space="preserve">                                                                      </w:t>
      </w:r>
    </w:p>
    <w:p>
      <w:pPr>
        <w:pStyle w:val="20"/>
        <w:spacing w:line="360" w:lineRule="auto"/>
        <w:ind w:firstLine="420" w:firstLineChars="200"/>
        <w:rPr>
          <w:rFonts w:hint="eastAsia" w:hAnsi="宋体"/>
          <w:bCs/>
          <w:color w:val="auto"/>
          <w:sz w:val="21"/>
          <w:highlight w:val="none"/>
          <w:u w:val="single"/>
        </w:rPr>
      </w:pPr>
      <w:r>
        <w:rPr>
          <w:rFonts w:hint="eastAsia" w:hAnsi="宋体"/>
          <w:bCs/>
          <w:color w:val="auto"/>
          <w:sz w:val="21"/>
          <w:highlight w:val="none"/>
        </w:rPr>
        <w:t>法律依据：</w:t>
      </w:r>
      <w:r>
        <w:rPr>
          <w:rFonts w:hint="eastAsia" w:hAnsi="宋体"/>
          <w:color w:val="auto"/>
          <w:sz w:val="21"/>
          <w:highlight w:val="none"/>
        </w:rPr>
        <w:t xml:space="preserve"> </w:t>
      </w:r>
      <w:r>
        <w:rPr>
          <w:rFonts w:hint="eastAsia" w:hAnsi="宋体"/>
          <w:bCs/>
          <w:color w:val="auto"/>
          <w:sz w:val="21"/>
          <w:highlight w:val="none"/>
          <w:u w:val="single"/>
        </w:rPr>
        <w:t xml:space="preserve">                                                           </w:t>
      </w:r>
    </w:p>
    <w:p>
      <w:pPr>
        <w:pStyle w:val="20"/>
        <w:spacing w:line="360" w:lineRule="auto"/>
        <w:ind w:left="25" w:leftChars="12" w:firstLine="308" w:firstLineChars="147"/>
        <w:rPr>
          <w:rFonts w:hint="eastAsia" w:hAnsi="宋体"/>
          <w:bCs/>
          <w:color w:val="auto"/>
          <w:sz w:val="21"/>
          <w:highlight w:val="none"/>
          <w:u w:val="single"/>
        </w:rPr>
      </w:pPr>
      <w:r>
        <w:rPr>
          <w:rFonts w:hint="eastAsia" w:hAnsi="宋体"/>
          <w:bCs/>
          <w:color w:val="auto"/>
          <w:sz w:val="21"/>
          <w:highlight w:val="none"/>
        </w:rPr>
        <w:t xml:space="preserve"> </w:t>
      </w:r>
      <w:r>
        <w:rPr>
          <w:rFonts w:hint="eastAsia" w:hAnsi="宋体"/>
          <w:bCs/>
          <w:color w:val="auto"/>
          <w:sz w:val="21"/>
          <w:highlight w:val="none"/>
          <w:u w:val="single"/>
        </w:rPr>
        <w:t xml:space="preserve">                                                                      </w:t>
      </w:r>
    </w:p>
    <w:p>
      <w:pPr>
        <w:pStyle w:val="20"/>
        <w:spacing w:line="360" w:lineRule="auto"/>
        <w:ind w:left="25" w:leftChars="12" w:firstLine="413" w:firstLineChars="197"/>
        <w:rPr>
          <w:rFonts w:hint="eastAsia" w:hAnsi="宋体"/>
          <w:bCs/>
          <w:color w:val="auto"/>
          <w:sz w:val="21"/>
          <w:highlight w:val="none"/>
        </w:rPr>
      </w:pPr>
      <w:r>
        <w:rPr>
          <w:rFonts w:hint="eastAsia" w:hAnsi="宋体"/>
          <w:color w:val="auto"/>
          <w:sz w:val="21"/>
          <w:highlight w:val="none"/>
        </w:rPr>
        <w:t xml:space="preserve">投诉事项2  </w:t>
      </w:r>
      <w:r>
        <w:rPr>
          <w:rFonts w:hint="eastAsia" w:hAnsi="宋体"/>
          <w:bCs/>
          <w:color w:val="auto"/>
          <w:sz w:val="21"/>
          <w:highlight w:val="none"/>
        </w:rPr>
        <w:t xml:space="preserve">   </w:t>
      </w:r>
    </w:p>
    <w:p>
      <w:pPr>
        <w:pStyle w:val="20"/>
        <w:spacing w:line="360" w:lineRule="auto"/>
        <w:ind w:left="25" w:leftChars="12" w:firstLine="413" w:firstLineChars="197"/>
        <w:rPr>
          <w:rFonts w:hint="eastAsia" w:hAnsi="宋体"/>
          <w:bCs/>
          <w:color w:val="auto"/>
          <w:sz w:val="21"/>
          <w:highlight w:val="none"/>
        </w:rPr>
      </w:pPr>
      <w:r>
        <w:rPr>
          <w:rFonts w:hAnsi="宋体"/>
          <w:bCs/>
          <w:color w:val="auto"/>
          <w:sz w:val="21"/>
          <w:highlight w:val="none"/>
        </w:rPr>
        <w:t>……</w:t>
      </w:r>
    </w:p>
    <w:p>
      <w:pPr>
        <w:pStyle w:val="20"/>
        <w:spacing w:line="360" w:lineRule="auto"/>
        <w:ind w:left="25" w:leftChars="12" w:firstLine="413" w:firstLineChars="196"/>
        <w:rPr>
          <w:rFonts w:hint="eastAsia" w:hAnsi="宋体"/>
          <w:b/>
          <w:color w:val="auto"/>
          <w:sz w:val="21"/>
          <w:highlight w:val="none"/>
        </w:rPr>
      </w:pPr>
      <w:r>
        <w:rPr>
          <w:rFonts w:hint="eastAsia" w:hAnsi="宋体"/>
          <w:b/>
          <w:color w:val="auto"/>
          <w:sz w:val="21"/>
          <w:highlight w:val="none"/>
        </w:rPr>
        <w:t>五、与投诉事项相关的投诉请求：</w:t>
      </w: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请求：</w:t>
      </w:r>
      <w:r>
        <w:rPr>
          <w:rFonts w:hint="eastAsia" w:hAnsi="宋体"/>
          <w:bCs/>
          <w:color w:val="auto"/>
          <w:sz w:val="21"/>
          <w:highlight w:val="none"/>
          <w:u w:val="single"/>
        </w:rPr>
        <w:t xml:space="preserve">                                                                </w:t>
      </w:r>
    </w:p>
    <w:p>
      <w:pPr>
        <w:pStyle w:val="20"/>
        <w:spacing w:line="360" w:lineRule="auto"/>
        <w:ind w:left="25" w:leftChars="12" w:firstLine="308" w:firstLineChars="147"/>
        <w:rPr>
          <w:rFonts w:hint="eastAsia" w:hAnsi="宋体"/>
          <w:color w:val="auto"/>
          <w:sz w:val="21"/>
          <w:highlight w:val="none"/>
        </w:rPr>
      </w:pP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签字（签章）：                                       公章：</w:t>
      </w:r>
    </w:p>
    <w:p>
      <w:pPr>
        <w:pStyle w:val="20"/>
        <w:spacing w:line="360" w:lineRule="auto"/>
        <w:ind w:left="25" w:leftChars="12" w:firstLine="308" w:firstLineChars="147"/>
        <w:rPr>
          <w:rFonts w:hint="eastAsia" w:hAnsi="宋体"/>
          <w:color w:val="auto"/>
          <w:sz w:val="21"/>
          <w:highlight w:val="none"/>
        </w:rPr>
      </w:pPr>
    </w:p>
    <w:p>
      <w:pPr>
        <w:pStyle w:val="20"/>
        <w:spacing w:line="360" w:lineRule="auto"/>
        <w:ind w:left="25" w:leftChars="12" w:firstLine="413" w:firstLineChars="197"/>
        <w:rPr>
          <w:rFonts w:hint="eastAsia" w:hAnsi="宋体"/>
          <w:color w:val="auto"/>
          <w:sz w:val="21"/>
          <w:highlight w:val="none"/>
        </w:rPr>
      </w:pPr>
      <w:r>
        <w:rPr>
          <w:rFonts w:hint="eastAsia" w:hAnsi="宋体"/>
          <w:color w:val="auto"/>
          <w:sz w:val="21"/>
          <w:highlight w:val="none"/>
        </w:rPr>
        <w:t>日期：</w:t>
      </w:r>
    </w:p>
    <w:p>
      <w:pPr>
        <w:pStyle w:val="20"/>
        <w:spacing w:line="360" w:lineRule="auto"/>
        <w:ind w:left="25" w:leftChars="12" w:firstLine="472" w:firstLineChars="197"/>
        <w:rPr>
          <w:rFonts w:hint="eastAsia" w:hAnsi="宋体"/>
          <w:color w:val="auto"/>
          <w:sz w:val="24"/>
          <w:szCs w:val="24"/>
          <w:highlight w:val="none"/>
        </w:rPr>
      </w:pPr>
      <w:r>
        <w:rPr>
          <w:rFonts w:hint="eastAsia" w:hAnsi="宋体"/>
          <w:bCs/>
          <w:color w:val="auto"/>
          <w:sz w:val="24"/>
          <w:szCs w:val="24"/>
          <w:highlight w:val="none"/>
        </w:rPr>
        <w:t xml:space="preserve">       </w:t>
      </w:r>
    </w:p>
    <w:p>
      <w:pPr>
        <w:pStyle w:val="20"/>
        <w:snapToGrid w:val="0"/>
        <w:spacing w:line="360" w:lineRule="auto"/>
        <w:rPr>
          <w:rFonts w:hint="eastAsia" w:hAnsi="宋体"/>
          <w:b/>
          <w:color w:val="auto"/>
          <w:sz w:val="21"/>
          <w:highlight w:val="none"/>
        </w:rPr>
      </w:pPr>
    </w:p>
    <w:p>
      <w:pPr>
        <w:pStyle w:val="20"/>
        <w:snapToGrid w:val="0"/>
        <w:spacing w:line="360" w:lineRule="auto"/>
        <w:rPr>
          <w:rFonts w:hint="eastAsia" w:hAnsi="宋体"/>
          <w:b/>
          <w:color w:val="auto"/>
          <w:sz w:val="21"/>
          <w:highlight w:val="none"/>
        </w:rPr>
      </w:pPr>
      <w:r>
        <w:rPr>
          <w:rFonts w:hint="eastAsia" w:hAnsi="宋体"/>
          <w:b/>
          <w:color w:val="auto"/>
          <w:sz w:val="21"/>
          <w:highlight w:val="none"/>
        </w:rPr>
        <w:t>说明：</w:t>
      </w:r>
    </w:p>
    <w:p>
      <w:pPr>
        <w:pStyle w:val="20"/>
        <w:spacing w:line="360" w:lineRule="auto"/>
        <w:ind w:left="25" w:leftChars="12" w:firstLine="309" w:firstLineChars="147"/>
        <w:rPr>
          <w:rFonts w:hint="eastAsia" w:hAnsi="宋体"/>
          <w:b/>
          <w:bCs/>
          <w:color w:val="auto"/>
          <w:sz w:val="21"/>
          <w:highlight w:val="none"/>
        </w:rPr>
      </w:pPr>
      <w:r>
        <w:rPr>
          <w:rFonts w:hint="eastAsia" w:hAnsi="宋体"/>
          <w:b/>
          <w:color w:val="auto"/>
          <w:sz w:val="21"/>
          <w:highlight w:val="none"/>
        </w:rPr>
        <w:t>1.投诉人提起投诉时，应当提交投诉书和必要的证明材料，并按照被投诉人和与投诉事项有关的供应商数量提供投诉书副本</w:t>
      </w:r>
      <w:r>
        <w:rPr>
          <w:rFonts w:hint="eastAsia" w:hAnsi="宋体"/>
          <w:b/>
          <w:bCs/>
          <w:color w:val="auto"/>
          <w:sz w:val="21"/>
          <w:highlight w:val="none"/>
        </w:rPr>
        <w:t>。</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3.投诉书应简要列明质疑事项，质疑函、质疑答复等作为附件材料提供。</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4.投诉书的投诉事项应具体、明确，并有必要的事实依据和法律依据。</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5.投诉书的投诉请求应与投诉事项相关。</w:t>
      </w:r>
    </w:p>
    <w:p>
      <w:pPr>
        <w:pStyle w:val="20"/>
        <w:spacing w:line="360" w:lineRule="auto"/>
        <w:ind w:left="25" w:leftChars="12" w:firstLine="309" w:firstLineChars="147"/>
        <w:rPr>
          <w:rFonts w:hint="eastAsia" w:hAnsi="宋体"/>
          <w:b/>
          <w:color w:val="auto"/>
          <w:sz w:val="21"/>
          <w:highlight w:val="none"/>
        </w:rPr>
      </w:pPr>
      <w:r>
        <w:rPr>
          <w:rFonts w:hint="eastAsia" w:hAnsi="宋体"/>
          <w:b/>
          <w:color w:val="auto"/>
          <w:sz w:val="21"/>
          <w:highlight w:val="none"/>
        </w:rPr>
        <w:t>6.投诉人为法人或者其他组织的，投诉书应由法定代表人、主要负责人，或者其授权代表签字或者盖章，并加盖公章。</w:t>
      </w:r>
    </w:p>
    <w:p>
      <w:pPr>
        <w:pStyle w:val="4"/>
        <w:spacing w:line="520" w:lineRule="exact"/>
        <w:jc w:val="center"/>
        <w:rPr>
          <w:rFonts w:hint="eastAsia"/>
          <w:color w:val="auto"/>
          <w:highlight w:val="none"/>
        </w:rPr>
      </w:pPr>
      <w:bookmarkStart w:id="260" w:name="_Toc44229900"/>
      <w:r>
        <w:rPr>
          <w:color w:val="auto"/>
          <w:highlight w:val="none"/>
        </w:rPr>
        <w:br w:type="page"/>
      </w:r>
      <w:bookmarkStart w:id="261" w:name="_Toc2652"/>
      <w:bookmarkStart w:id="262" w:name="_Toc3437"/>
      <w:bookmarkStart w:id="263" w:name="_Toc7764"/>
      <w:bookmarkStart w:id="264" w:name="_Toc22624"/>
      <w:bookmarkStart w:id="265" w:name="_Toc17441"/>
      <w:bookmarkStart w:id="266" w:name="_Toc7252"/>
      <w:bookmarkStart w:id="267" w:name="_Toc1606"/>
      <w:bookmarkStart w:id="268" w:name="_Toc7768"/>
      <w:bookmarkStart w:id="269" w:name="_Toc31350"/>
      <w:bookmarkStart w:id="270" w:name="_Toc27071"/>
      <w:bookmarkStart w:id="271" w:name="_Toc14381"/>
      <w:bookmarkStart w:id="272" w:name="_Toc17988"/>
      <w:bookmarkStart w:id="273" w:name="_Toc9345"/>
      <w:bookmarkStart w:id="274" w:name="_Toc284"/>
      <w:bookmarkStart w:id="275" w:name="_Toc27041"/>
      <w:bookmarkStart w:id="276" w:name="_Toc31873"/>
      <w:r>
        <w:rPr>
          <w:rFonts w:hint="eastAsia"/>
          <w:color w:val="auto"/>
          <w:sz w:val="28"/>
          <w:szCs w:val="28"/>
          <w:highlight w:val="none"/>
        </w:rPr>
        <w:t>第六章 合同文本</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spacing w:line="400" w:lineRule="exact"/>
        <w:rPr>
          <w:rFonts w:hint="eastAsia" w:ascii="宋体" w:hAnsi="宋体"/>
          <w:color w:val="auto"/>
          <w:szCs w:val="21"/>
          <w:highlight w:val="none"/>
        </w:rPr>
      </w:pPr>
    </w:p>
    <w:p>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磋商文件规定条款和乙方响应文件及其承诺，甲乙双方签订本合同。</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3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1300"/>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2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2、竞标报价是履行合同的最终价格，合计金额包含但不限于完成采购需求服务所</w:t>
      </w:r>
      <w:r>
        <w:rPr>
          <w:rFonts w:hint="eastAsia" w:ascii="宋体" w:hAnsi="宋体" w:cs="宋体"/>
          <w:color w:val="auto"/>
          <w:szCs w:val="21"/>
          <w:highlight w:val="none"/>
          <w:lang w:eastAsia="zh-CN"/>
        </w:rPr>
        <w:t>必需的</w:t>
      </w:r>
      <w:r>
        <w:rPr>
          <w:rFonts w:hint="eastAsia" w:ascii="宋体" w:hAnsi="宋体" w:cs="宋体"/>
          <w:color w:val="auto"/>
          <w:szCs w:val="21"/>
          <w:highlight w:val="none"/>
        </w:rPr>
        <w:t>人员、交通、保险、各项税费、提供售后服务等相关的一切费用及合同实施过程中不可预见费用等完成本次采购项下的全部费用。</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第二条　质量保证</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spacing w:line="360" w:lineRule="auto"/>
        <w:ind w:firstLine="421" w:firstLineChars="200"/>
        <w:rPr>
          <w:rFonts w:hint="eastAsia" w:ascii="宋体" w:hAnsi="宋体" w:cs="宋体"/>
          <w:color w:val="auto"/>
          <w:szCs w:val="21"/>
          <w:highlight w:val="none"/>
        </w:rPr>
      </w:pPr>
      <w:r>
        <w:rPr>
          <w:rFonts w:hint="eastAsia" w:ascii="宋体" w:hAnsi="宋体" w:cs="宋体"/>
          <w:b/>
          <w:color w:val="auto"/>
          <w:szCs w:val="21"/>
          <w:highlight w:val="none"/>
        </w:rPr>
        <w:t>第三条　权利保证</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pacing w:line="360" w:lineRule="auto"/>
        <w:ind w:firstLine="421" w:firstLineChars="200"/>
        <w:rPr>
          <w:rFonts w:hint="eastAsia" w:ascii="宋体" w:hAnsi="宋体" w:cs="宋体"/>
          <w:color w:val="auto"/>
          <w:szCs w:val="21"/>
          <w:highlight w:val="none"/>
        </w:rPr>
      </w:pPr>
      <w:r>
        <w:rPr>
          <w:rFonts w:hint="eastAsia" w:ascii="宋体" w:hAnsi="宋体" w:cs="宋体"/>
          <w:b/>
          <w:color w:val="auto"/>
          <w:szCs w:val="21"/>
          <w:highlight w:val="none"/>
        </w:rPr>
        <w:t>第四条　交付和验收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起至</w:t>
      </w:r>
      <w:r>
        <w:rPr>
          <w:rFonts w:ascii="宋体" w:hAnsi="宋体" w:cs="宋体"/>
          <w:color w:val="auto"/>
          <w:szCs w:val="21"/>
          <w:highlight w:val="none"/>
          <w:u w:val="single"/>
        </w:rPr>
        <w:t xml:space="preserve">              </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》、双方合同、响应文件验收。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6、甲方在初步验收或者最终验收过程中如发现乙方提供的服务成果不满足响应文件及本合同规定的，可暂缓向乙方付款，直到乙方及时完善并提交相应的服务成果且经甲方验收合格后，方可办理付款。</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pPr>
        <w:snapToGrid w:val="0"/>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第五条  售后服务及培训</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1、乙方应按照国家有关法律法规和本合同所附的《售后服务承诺》要求为甲方提供相应的售后服务。</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1" w:firstLineChars="200"/>
        <w:rPr>
          <w:rFonts w:hint="eastAsia" w:ascii="宋体" w:hAnsi="宋体" w:cs="宋体"/>
          <w:color w:val="auto"/>
          <w:szCs w:val="21"/>
          <w:highlight w:val="none"/>
          <w:u w:val="single"/>
        </w:rPr>
      </w:pPr>
      <w:r>
        <w:rPr>
          <w:rFonts w:hint="eastAsia" w:ascii="宋体" w:hAnsi="宋体" w:cs="宋体"/>
          <w:b/>
          <w:color w:val="auto"/>
          <w:szCs w:val="21"/>
          <w:highlight w:val="none"/>
        </w:rPr>
        <w:t>第六条　付款方式</w:t>
      </w:r>
    </w:p>
    <w:p>
      <w:pPr>
        <w:spacing w:line="360" w:lineRule="auto"/>
        <w:ind w:firstLine="420" w:firstLineChars="200"/>
        <w:rPr>
          <w:rFonts w:hint="eastAsia" w:ascii="宋体" w:hAnsi="宋体" w:cs="Calibri"/>
          <w:color w:val="auto"/>
          <w:szCs w:val="21"/>
          <w:highlight w:val="none"/>
        </w:rPr>
      </w:pPr>
      <w:r>
        <w:rPr>
          <w:rFonts w:hint="eastAsia" w:ascii="宋体" w:hAnsi="宋体" w:eastAsia="宋体" w:cs="宋体"/>
          <w:color w:val="auto"/>
          <w:szCs w:val="21"/>
          <w:highlight w:val="none"/>
        </w:rPr>
        <w:t>分期付款，签订合同后20个工作日内，</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支付合同价款的50%；2025年7月底前</w:t>
      </w:r>
      <w:r>
        <w:rPr>
          <w:rFonts w:hint="eastAsia" w:ascii="宋体" w:hAnsi="宋体" w:cs="宋体"/>
          <w:color w:val="auto"/>
          <w:szCs w:val="21"/>
          <w:highlight w:val="none"/>
          <w:lang w:eastAsia="zh-CN"/>
        </w:rPr>
        <w:t>乙方</w:t>
      </w:r>
      <w:r>
        <w:rPr>
          <w:rFonts w:hint="eastAsia" w:ascii="宋体" w:hAnsi="宋体" w:eastAsia="宋体" w:cs="宋体"/>
          <w:color w:val="auto"/>
          <w:szCs w:val="21"/>
          <w:highlight w:val="none"/>
        </w:rPr>
        <w:t>完成1-2季度推送的案件监测及提交阶段监测报告、相关数据材料后20个工作日内，</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支付合同价款项的30%；2025年12月底前</w:t>
      </w:r>
      <w:r>
        <w:rPr>
          <w:rFonts w:hint="eastAsia" w:ascii="宋体" w:hAnsi="宋体" w:cs="宋体"/>
          <w:color w:val="auto"/>
          <w:szCs w:val="21"/>
          <w:highlight w:val="none"/>
          <w:lang w:val="en-US" w:eastAsia="zh-CN"/>
        </w:rPr>
        <w:tab/>
      </w:r>
      <w:r>
        <w:rPr>
          <w:rFonts w:hint="eastAsia" w:ascii="宋体" w:hAnsi="宋体" w:eastAsia="宋体" w:cs="宋体"/>
          <w:color w:val="auto"/>
          <w:szCs w:val="21"/>
          <w:highlight w:val="none"/>
        </w:rPr>
        <w:t>完成全部推送的案件监测及提交监测报告、数据材料</w:t>
      </w:r>
      <w:r>
        <w:rPr>
          <w:rFonts w:hint="eastAsia" w:ascii="宋体" w:hAnsi="宋体" w:cs="宋体"/>
          <w:color w:val="auto"/>
          <w:szCs w:val="21"/>
          <w:highlight w:val="none"/>
          <w:lang w:eastAsia="zh-CN"/>
        </w:rPr>
        <w:t>并通过甲方验收</w:t>
      </w:r>
      <w:r>
        <w:rPr>
          <w:rFonts w:hint="eastAsia" w:ascii="宋体" w:hAnsi="宋体" w:eastAsia="宋体" w:cs="宋体"/>
          <w:color w:val="auto"/>
          <w:szCs w:val="21"/>
          <w:highlight w:val="none"/>
        </w:rPr>
        <w:t>后20个工作日内，</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支付合同价款项的20%。每支付一笔款项前，</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必须提供相应数额的合格发票、请款函、进度证明材料等。</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未及时向采购人开具发票的，</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有权顺延付款时间，且不承担任何逾期付款违约责任。</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第七条　履约保证金：</w:t>
      </w:r>
      <w:r>
        <w:rPr>
          <w:rFonts w:hint="eastAsia" w:ascii="宋体" w:hAnsi="宋体" w:cs="宋体"/>
          <w:color w:val="auto"/>
          <w:szCs w:val="21"/>
          <w:highlight w:val="none"/>
        </w:rPr>
        <w:t>本项目不收取履约保证金。</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第八条  税费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第九条　违约责任</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olor w:val="auto"/>
          <w:szCs w:val="21"/>
          <w:highlight w:val="none"/>
        </w:rPr>
        <w:t>1、除不可抗力原因外，乙方没有按照合同规定的时间提供服务的，甲方可要求乙方支付违约金。每推迟一天按合同金额的3‰支付违约金，该违约金累计不超过合同金额的10%。</w:t>
      </w:r>
      <w:r>
        <w:rPr>
          <w:rFonts w:hint="eastAsia" w:ascii="宋体" w:hAnsi="宋体" w:cs="宋体"/>
          <w:color w:val="auto"/>
          <w:szCs w:val="21"/>
          <w:highlight w:val="none"/>
        </w:rPr>
        <w:t xml:space="preserve">                                  </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pPr>
        <w:snapToGrid w:val="0"/>
        <w:spacing w:line="360" w:lineRule="auto"/>
        <w:ind w:firstLine="420" w:firstLineChars="200"/>
        <w:rPr>
          <w:rFonts w:hint="eastAsia" w:ascii="宋体" w:hAnsi="宋体" w:cs="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、甲方延期付款的，每天向乙方偿付延期款额3‰滞纳金，但滞纳金累计不得超过延期款额5%。</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第十条  不可抗力事件处理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pPr>
        <w:spacing w:line="360" w:lineRule="auto"/>
        <w:ind w:firstLine="421" w:firstLineChars="200"/>
        <w:rPr>
          <w:rFonts w:hint="eastAsia" w:ascii="宋体" w:hAnsi="宋体" w:cs="宋体"/>
          <w:color w:val="auto"/>
          <w:szCs w:val="21"/>
          <w:highlight w:val="none"/>
        </w:rPr>
      </w:pPr>
      <w:r>
        <w:rPr>
          <w:rFonts w:hint="eastAsia" w:ascii="宋体" w:hAnsi="宋体" w:cs="宋体"/>
          <w:b/>
          <w:color w:val="auto"/>
          <w:szCs w:val="21"/>
          <w:highlight w:val="none"/>
        </w:rPr>
        <w:t>第十一条  合同争议解决</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2、因履行本合同引起的或者与本合同有关的争议，甲乙双方应首先通过友好协商解决，如果协商不能解决，可向甲方所在地有管辖权的人民法院提起诉讼。</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第十二条  合同生效及其它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1、合同经双方法定代表人或者授权代表签字并加盖单位公章后生效（委托代理人签字的需后附法定代表人授权委托书，格式自拟）。</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pPr>
        <w:spacing w:line="360" w:lineRule="auto"/>
        <w:ind w:firstLine="421" w:firstLineChars="200"/>
        <w:rPr>
          <w:rFonts w:hint="eastAsia" w:ascii="宋体" w:hAnsi="宋体" w:cs="宋体"/>
          <w:b/>
          <w:color w:val="auto"/>
          <w:szCs w:val="21"/>
          <w:highlight w:val="none"/>
        </w:rPr>
      </w:pPr>
      <w:r>
        <w:rPr>
          <w:rFonts w:hint="eastAsia" w:ascii="宋体" w:hAnsi="宋体" w:cs="宋体"/>
          <w:b/>
          <w:color w:val="auto"/>
          <w:szCs w:val="21"/>
          <w:highlight w:val="none"/>
        </w:rPr>
        <w:t>第十四条　签订本合同依据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成交通知书</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2、竞标报价表；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3、商务条款偏离表和服务需求偏离表；</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pPr>
        <w:spacing w:line="360" w:lineRule="auto"/>
        <w:ind w:firstLine="421" w:firstLineChars="200"/>
        <w:rPr>
          <w:rFonts w:hint="eastAsia"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w:t>
      </w:r>
      <w:r>
        <w:rPr>
          <w:rFonts w:hint="eastAsia" w:ascii="宋体" w:hAnsi="宋体" w:cs="宋体"/>
          <w:color w:val="auto"/>
          <w:szCs w:val="21"/>
          <w:highlight w:val="none"/>
          <w:lang w:eastAsia="zh-CN"/>
        </w:rPr>
        <w:t>捌</w:t>
      </w:r>
      <w:r>
        <w:rPr>
          <w:rFonts w:hint="eastAsia" w:ascii="宋体" w:hAnsi="宋体" w:cs="宋体"/>
          <w:color w:val="auto"/>
          <w:szCs w:val="21"/>
          <w:highlight w:val="none"/>
        </w:rPr>
        <w:t>份，具有同等法律效力，财政部门（政府采购监管部门）、采购代理机构各一份，甲乙双方各</w:t>
      </w:r>
      <w:bookmarkStart w:id="277" w:name="_GoBack"/>
      <w:bookmarkEnd w:id="277"/>
      <w:r>
        <w:rPr>
          <w:rFonts w:hint="eastAsia" w:ascii="宋体" w:hAnsi="宋体" w:cs="宋体"/>
          <w:color w:val="auto"/>
          <w:szCs w:val="21"/>
          <w:highlight w:val="none"/>
          <w:lang w:eastAsia="zh-CN"/>
        </w:rPr>
        <w:t>叁</w:t>
      </w:r>
      <w:r>
        <w:rPr>
          <w:rFonts w:hint="eastAsia" w:ascii="宋体" w:hAnsi="宋体" w:cs="宋体"/>
          <w:color w:val="auto"/>
          <w:szCs w:val="21"/>
          <w:highlight w:val="none"/>
        </w:rPr>
        <w:t>份（可根据需要另增加）。</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tbl>
      <w:tblPr>
        <w:tblStyle w:val="32"/>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0"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甲方：（章）</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p>
          <w:p>
            <w:pPr>
              <w:snapToGrid w:val="0"/>
              <w:spacing w:line="360" w:lineRule="auto"/>
              <w:ind w:firstLine="945" w:firstLineChars="450"/>
              <w:jc w:val="right"/>
              <w:rPr>
                <w:rFonts w:hint="eastAsia" w:ascii="宋体" w:hAnsi="宋体" w:cs="宋体"/>
                <w:color w:val="auto"/>
                <w:szCs w:val="21"/>
                <w:highlight w:val="none"/>
              </w:rPr>
            </w:pPr>
          </w:p>
          <w:p>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乙方：（章）       </w:t>
            </w:r>
          </w:p>
          <w:p>
            <w:pPr>
              <w:snapToGrid w:val="0"/>
              <w:spacing w:line="360" w:lineRule="auto"/>
              <w:rPr>
                <w:rFonts w:hint="eastAsia" w:ascii="宋体" w:hAnsi="宋体" w:cs="宋体"/>
                <w:color w:val="auto"/>
                <w:szCs w:val="21"/>
                <w:highlight w:val="none"/>
              </w:rPr>
            </w:pPr>
          </w:p>
          <w:p>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napToGrid w:val="0"/>
              <w:spacing w:line="360" w:lineRule="auto"/>
              <w:jc w:val="right"/>
              <w:rPr>
                <w:rFonts w:hint="eastAsia" w:ascii="宋体" w:hAnsi="宋体" w:cs="宋体"/>
                <w:color w:val="auto"/>
                <w:szCs w:val="21"/>
                <w:highlight w:val="none"/>
              </w:rPr>
            </w:pPr>
          </w:p>
          <w:p>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r>
              <w:rPr>
                <w:rFonts w:ascii="宋体" w:hAnsi="宋体" w:cs="宋体"/>
                <w:color w:val="auto"/>
                <w:szCs w:val="21"/>
                <w:highlight w:val="none"/>
              </w:rPr>
              <w:t xml:space="preserve">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pPr>
        <w:rPr>
          <w:color w:val="auto"/>
          <w:highlight w:val="none"/>
        </w:rPr>
      </w:pPr>
    </w:p>
    <w:sectPr>
      <w:footerReference r:id="rId6" w:type="first"/>
      <w:footerReference r:id="rId5" w:type="default"/>
      <w:pgSz w:w="11906" w:h="16838"/>
      <w:pgMar w:top="1417" w:right="1417" w:bottom="1417" w:left="1417" w:header="851" w:footer="82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 Light">
    <w:altName w:val="DejaVu Math TeX Gyre"/>
    <w:panose1 w:val="00000000000000000000"/>
    <w:charset w:val="00"/>
    <w:family w:val="auto"/>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新宋体">
    <w:panose1 w:val="02010609030101010101"/>
    <w:charset w:val="86"/>
    <w:family w:val="modern"/>
    <w:pitch w:val="default"/>
    <w:sig w:usb0="00000003" w:usb1="080E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隶书">
    <w:altName w:val="宋体"/>
    <w:panose1 w:val="02010509060101010101"/>
    <w:charset w:val="00"/>
    <w:family w:val="modern"/>
    <w:pitch w:val="default"/>
    <w:sig w:usb0="00000000" w:usb1="00000000" w:usb2="00000010" w:usb3="00000000" w:csb0="00040000" w:csb1="00000000"/>
  </w:font>
  <w:font w:name="Noto Sans Syriac Eastern">
    <w:panose1 w:val="02040503050306020203"/>
    <w:charset w:val="86"/>
    <w:family w:val="auto"/>
    <w:pitch w:val="default"/>
    <w:sig w:usb0="00000000" w:usb1="00000000" w:usb2="00000080" w:usb3="00000000" w:csb0="203E0161" w:csb1="D7FF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jc w:val="center"/>
                          </w:pPr>
                          <w:r>
                            <w:fldChar w:fldCharType="begin"/>
                          </w:r>
                          <w:r>
                            <w:instrText xml:space="preserve"> PAGE   \* MERGEFORMAT </w:instrText>
                          </w:r>
                          <w:r>
                            <w:fldChar w:fldCharType="separate"/>
                          </w:r>
                          <w:r>
                            <w:rPr>
                              <w:lang w:val="zh-CN"/>
                            </w:rPr>
                            <w:t>38</w:t>
                          </w:r>
                          <w:r>
                            <w:fldChar w:fldCharType="end"/>
                          </w:r>
                        </w:p>
                      </w:txbxContent>
                    </wps:txbx>
                    <wps:bodyPr wrap="none" lIns="0" tIns="0" rIns="0" bIns="0" upright="0">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SuUK8bEBAABOAwAADgAAAAAAAAABACAAAAA0AQAAZHJzL2Uyb0RvYy54&#10;bWxQSwUGAAAAAAYABgBZAQAAVwUAAAAA&#10;">
              <v:fill on="f" focussize="0,0"/>
              <v:stroke on="f"/>
              <v:imagedata o:title=""/>
              <o:lock v:ext="edit" aspectratio="f"/>
              <v:textbox inset="0mm,0mm,0mm,0mm" style="mso-fit-shape-to-text:t;">
                <w:txbxContent>
                  <w:p>
                    <w:pPr>
                      <w:pStyle w:val="24"/>
                      <w:jc w:val="center"/>
                    </w:pPr>
                    <w:r>
                      <w:fldChar w:fldCharType="begin"/>
                    </w:r>
                    <w:r>
                      <w:instrText xml:space="preserve"> PAGE   \* MERGEFORMAT </w:instrText>
                    </w:r>
                    <w:r>
                      <w:fldChar w:fldCharType="separate"/>
                    </w:r>
                    <w:r>
                      <w:rPr>
                        <w:lang w:val="zh-CN"/>
                      </w:rPr>
                      <w:t>38</w:t>
                    </w:r>
                    <w:r>
                      <w:fldChar w:fldCharType="end"/>
                    </w:r>
                  </w:p>
                </w:txbxContent>
              </v:textbox>
            </v:shape>
          </w:pict>
        </mc:Fallback>
      </mc:AlternateContent>
    </w:r>
    <w:r>
      <w:rPr>
        <w:rFonts w:hint="eastAsia"/>
      </w:rPr>
      <w:t xml:space="preserve">  </w: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VfXW8bEBAABOAwAADgAAAAAAAAABACAAAAA0AQAAZHJzL2Uyb0RvYy54&#10;bWxQSwUGAAAAAAYABgBZAQAAVwUAAAAA&#10;">
              <v:fill on="f" focussize="0,0"/>
              <v:stroke on="f"/>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6,7"/>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ZjdjOTc2MTBhOTQ3YmQ2NTY4NTA2MjgwODE4MzQifQ=="/>
  </w:docVars>
  <w:rsids>
    <w:rsidRoot w:val="00F34B14"/>
    <w:rsid w:val="00000672"/>
    <w:rsid w:val="00001013"/>
    <w:rsid w:val="00001799"/>
    <w:rsid w:val="00001AF2"/>
    <w:rsid w:val="00001ECA"/>
    <w:rsid w:val="00002D29"/>
    <w:rsid w:val="00003B93"/>
    <w:rsid w:val="0000474D"/>
    <w:rsid w:val="00005FDF"/>
    <w:rsid w:val="000070B3"/>
    <w:rsid w:val="000076B8"/>
    <w:rsid w:val="000109DC"/>
    <w:rsid w:val="00010D39"/>
    <w:rsid w:val="0001172C"/>
    <w:rsid w:val="00012854"/>
    <w:rsid w:val="00012EA6"/>
    <w:rsid w:val="000139CF"/>
    <w:rsid w:val="00013AA4"/>
    <w:rsid w:val="00013DFE"/>
    <w:rsid w:val="000141EA"/>
    <w:rsid w:val="00016ABC"/>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560F"/>
    <w:rsid w:val="0009588E"/>
    <w:rsid w:val="000959EE"/>
    <w:rsid w:val="00097183"/>
    <w:rsid w:val="000972CB"/>
    <w:rsid w:val="0009760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2A8"/>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35A8"/>
    <w:rsid w:val="00113678"/>
    <w:rsid w:val="00113C3E"/>
    <w:rsid w:val="00115E11"/>
    <w:rsid w:val="00115EEE"/>
    <w:rsid w:val="00115F56"/>
    <w:rsid w:val="00116CA9"/>
    <w:rsid w:val="00116F38"/>
    <w:rsid w:val="001170A4"/>
    <w:rsid w:val="0011778F"/>
    <w:rsid w:val="00117AE7"/>
    <w:rsid w:val="00117CBD"/>
    <w:rsid w:val="0012006A"/>
    <w:rsid w:val="00121979"/>
    <w:rsid w:val="00122064"/>
    <w:rsid w:val="00124341"/>
    <w:rsid w:val="00124492"/>
    <w:rsid w:val="00124B12"/>
    <w:rsid w:val="001250A0"/>
    <w:rsid w:val="001263B8"/>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DD6"/>
    <w:rsid w:val="0016086E"/>
    <w:rsid w:val="00160D0C"/>
    <w:rsid w:val="00161172"/>
    <w:rsid w:val="00161998"/>
    <w:rsid w:val="00161E65"/>
    <w:rsid w:val="00162597"/>
    <w:rsid w:val="001629AF"/>
    <w:rsid w:val="001629FD"/>
    <w:rsid w:val="0016428A"/>
    <w:rsid w:val="001647C9"/>
    <w:rsid w:val="00165627"/>
    <w:rsid w:val="001661A3"/>
    <w:rsid w:val="00167226"/>
    <w:rsid w:val="0016782B"/>
    <w:rsid w:val="0016784D"/>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5424"/>
    <w:rsid w:val="001955FF"/>
    <w:rsid w:val="00197EDD"/>
    <w:rsid w:val="001A02B3"/>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9FF"/>
    <w:rsid w:val="001B6512"/>
    <w:rsid w:val="001B65D7"/>
    <w:rsid w:val="001B6752"/>
    <w:rsid w:val="001B6768"/>
    <w:rsid w:val="001B6F1F"/>
    <w:rsid w:val="001B7ECC"/>
    <w:rsid w:val="001C025B"/>
    <w:rsid w:val="001C115F"/>
    <w:rsid w:val="001C25A7"/>
    <w:rsid w:val="001C318C"/>
    <w:rsid w:val="001C35C4"/>
    <w:rsid w:val="001C4287"/>
    <w:rsid w:val="001C4479"/>
    <w:rsid w:val="001C5190"/>
    <w:rsid w:val="001C6081"/>
    <w:rsid w:val="001C7B48"/>
    <w:rsid w:val="001D0CFB"/>
    <w:rsid w:val="001D1A0D"/>
    <w:rsid w:val="001D343C"/>
    <w:rsid w:val="001D58A1"/>
    <w:rsid w:val="001D58C2"/>
    <w:rsid w:val="001D5A8A"/>
    <w:rsid w:val="001D735E"/>
    <w:rsid w:val="001D73C8"/>
    <w:rsid w:val="001D79AD"/>
    <w:rsid w:val="001D7BC6"/>
    <w:rsid w:val="001E129E"/>
    <w:rsid w:val="001E175C"/>
    <w:rsid w:val="001E1B0E"/>
    <w:rsid w:val="001E5A94"/>
    <w:rsid w:val="001F1FDC"/>
    <w:rsid w:val="001F2A2E"/>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5587"/>
    <w:rsid w:val="00245F2B"/>
    <w:rsid w:val="00247F3A"/>
    <w:rsid w:val="00250122"/>
    <w:rsid w:val="00250755"/>
    <w:rsid w:val="00251043"/>
    <w:rsid w:val="00251C4A"/>
    <w:rsid w:val="0025271C"/>
    <w:rsid w:val="002533CD"/>
    <w:rsid w:val="00254EAB"/>
    <w:rsid w:val="002557AF"/>
    <w:rsid w:val="0025589C"/>
    <w:rsid w:val="00255B62"/>
    <w:rsid w:val="002566B1"/>
    <w:rsid w:val="002575E3"/>
    <w:rsid w:val="00257A74"/>
    <w:rsid w:val="00257F9A"/>
    <w:rsid w:val="002603C1"/>
    <w:rsid w:val="002609A1"/>
    <w:rsid w:val="002612B1"/>
    <w:rsid w:val="00266165"/>
    <w:rsid w:val="00266F2C"/>
    <w:rsid w:val="0027125E"/>
    <w:rsid w:val="00271767"/>
    <w:rsid w:val="00272293"/>
    <w:rsid w:val="002723C8"/>
    <w:rsid w:val="00273C2A"/>
    <w:rsid w:val="00273CBE"/>
    <w:rsid w:val="002746B1"/>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F0522"/>
    <w:rsid w:val="002F16DD"/>
    <w:rsid w:val="002F199D"/>
    <w:rsid w:val="002F213C"/>
    <w:rsid w:val="002F2453"/>
    <w:rsid w:val="002F352D"/>
    <w:rsid w:val="002F4084"/>
    <w:rsid w:val="002F4A08"/>
    <w:rsid w:val="002F4ADB"/>
    <w:rsid w:val="002F512F"/>
    <w:rsid w:val="002F531E"/>
    <w:rsid w:val="002F548D"/>
    <w:rsid w:val="002F5ACC"/>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F39"/>
    <w:rsid w:val="0036445C"/>
    <w:rsid w:val="00364627"/>
    <w:rsid w:val="00364AB0"/>
    <w:rsid w:val="003667B0"/>
    <w:rsid w:val="003667DD"/>
    <w:rsid w:val="00366B48"/>
    <w:rsid w:val="00367764"/>
    <w:rsid w:val="00370316"/>
    <w:rsid w:val="00370DC7"/>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7051"/>
    <w:rsid w:val="00387ECF"/>
    <w:rsid w:val="0039021B"/>
    <w:rsid w:val="00390429"/>
    <w:rsid w:val="0039366C"/>
    <w:rsid w:val="00393EC8"/>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A1405"/>
    <w:rsid w:val="004A1FC6"/>
    <w:rsid w:val="004A2E5F"/>
    <w:rsid w:val="004A38C2"/>
    <w:rsid w:val="004A3C03"/>
    <w:rsid w:val="004A3DB7"/>
    <w:rsid w:val="004A40E1"/>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65A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23AC"/>
    <w:rsid w:val="005531DF"/>
    <w:rsid w:val="00553874"/>
    <w:rsid w:val="00554404"/>
    <w:rsid w:val="00554577"/>
    <w:rsid w:val="00554AD8"/>
    <w:rsid w:val="00554F78"/>
    <w:rsid w:val="00555DA1"/>
    <w:rsid w:val="00556BF7"/>
    <w:rsid w:val="00557F60"/>
    <w:rsid w:val="00561730"/>
    <w:rsid w:val="00561B97"/>
    <w:rsid w:val="00562149"/>
    <w:rsid w:val="00567B5D"/>
    <w:rsid w:val="00570757"/>
    <w:rsid w:val="00573733"/>
    <w:rsid w:val="00573F8B"/>
    <w:rsid w:val="00574554"/>
    <w:rsid w:val="00574E06"/>
    <w:rsid w:val="005751BB"/>
    <w:rsid w:val="00576089"/>
    <w:rsid w:val="005764B1"/>
    <w:rsid w:val="00576852"/>
    <w:rsid w:val="00576D06"/>
    <w:rsid w:val="005779E4"/>
    <w:rsid w:val="0058289C"/>
    <w:rsid w:val="005836C7"/>
    <w:rsid w:val="0058408E"/>
    <w:rsid w:val="00585374"/>
    <w:rsid w:val="005854CA"/>
    <w:rsid w:val="00585FAB"/>
    <w:rsid w:val="00590B77"/>
    <w:rsid w:val="00590D9A"/>
    <w:rsid w:val="005913A3"/>
    <w:rsid w:val="0059389E"/>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B07EC"/>
    <w:rsid w:val="005B2B11"/>
    <w:rsid w:val="005B32A4"/>
    <w:rsid w:val="005B338D"/>
    <w:rsid w:val="005B3BAF"/>
    <w:rsid w:val="005B4DA3"/>
    <w:rsid w:val="005B5BEE"/>
    <w:rsid w:val="005B77D2"/>
    <w:rsid w:val="005C019B"/>
    <w:rsid w:val="005C1AED"/>
    <w:rsid w:val="005C30F5"/>
    <w:rsid w:val="005C51A5"/>
    <w:rsid w:val="005C557A"/>
    <w:rsid w:val="005C5C47"/>
    <w:rsid w:val="005C61DD"/>
    <w:rsid w:val="005C6438"/>
    <w:rsid w:val="005C6B8B"/>
    <w:rsid w:val="005C727F"/>
    <w:rsid w:val="005D02E3"/>
    <w:rsid w:val="005D1F34"/>
    <w:rsid w:val="005D2C1F"/>
    <w:rsid w:val="005D34B2"/>
    <w:rsid w:val="005D3B54"/>
    <w:rsid w:val="005D40CD"/>
    <w:rsid w:val="005D6B59"/>
    <w:rsid w:val="005D784B"/>
    <w:rsid w:val="005E03E4"/>
    <w:rsid w:val="005E0454"/>
    <w:rsid w:val="005E05F6"/>
    <w:rsid w:val="005E2442"/>
    <w:rsid w:val="005E3111"/>
    <w:rsid w:val="005E3F85"/>
    <w:rsid w:val="005E4A5F"/>
    <w:rsid w:val="005E57B0"/>
    <w:rsid w:val="005E5B01"/>
    <w:rsid w:val="005E6A52"/>
    <w:rsid w:val="005E6D3B"/>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40082"/>
    <w:rsid w:val="00640291"/>
    <w:rsid w:val="00640EFE"/>
    <w:rsid w:val="00641D6D"/>
    <w:rsid w:val="00641FAC"/>
    <w:rsid w:val="00643664"/>
    <w:rsid w:val="00643CAA"/>
    <w:rsid w:val="00644F16"/>
    <w:rsid w:val="006455EB"/>
    <w:rsid w:val="006456C2"/>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3AB"/>
    <w:rsid w:val="00672CA5"/>
    <w:rsid w:val="00673711"/>
    <w:rsid w:val="00673F82"/>
    <w:rsid w:val="00674F74"/>
    <w:rsid w:val="0067508F"/>
    <w:rsid w:val="00677576"/>
    <w:rsid w:val="0068051E"/>
    <w:rsid w:val="00680B9D"/>
    <w:rsid w:val="00681F13"/>
    <w:rsid w:val="0068231C"/>
    <w:rsid w:val="0068234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70BC"/>
    <w:rsid w:val="006F7E7C"/>
    <w:rsid w:val="0070174E"/>
    <w:rsid w:val="007018DB"/>
    <w:rsid w:val="00701DE6"/>
    <w:rsid w:val="0070381B"/>
    <w:rsid w:val="0070796C"/>
    <w:rsid w:val="00710084"/>
    <w:rsid w:val="00710EBF"/>
    <w:rsid w:val="007110B8"/>
    <w:rsid w:val="0071209F"/>
    <w:rsid w:val="007125A2"/>
    <w:rsid w:val="00713F79"/>
    <w:rsid w:val="007148A8"/>
    <w:rsid w:val="00716AC8"/>
    <w:rsid w:val="00716E54"/>
    <w:rsid w:val="0072033C"/>
    <w:rsid w:val="00720B1B"/>
    <w:rsid w:val="00721062"/>
    <w:rsid w:val="00721E5D"/>
    <w:rsid w:val="007229D4"/>
    <w:rsid w:val="007230F8"/>
    <w:rsid w:val="007233F4"/>
    <w:rsid w:val="00724044"/>
    <w:rsid w:val="007248D3"/>
    <w:rsid w:val="00725137"/>
    <w:rsid w:val="00725378"/>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3C48"/>
    <w:rsid w:val="00754250"/>
    <w:rsid w:val="007545F9"/>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3BA"/>
    <w:rsid w:val="0077068F"/>
    <w:rsid w:val="00771EDF"/>
    <w:rsid w:val="00772A90"/>
    <w:rsid w:val="00772F8D"/>
    <w:rsid w:val="0077408D"/>
    <w:rsid w:val="00774270"/>
    <w:rsid w:val="007743F6"/>
    <w:rsid w:val="00775679"/>
    <w:rsid w:val="0077574F"/>
    <w:rsid w:val="00775823"/>
    <w:rsid w:val="00777B32"/>
    <w:rsid w:val="0078051E"/>
    <w:rsid w:val="00781089"/>
    <w:rsid w:val="007838F3"/>
    <w:rsid w:val="007856FE"/>
    <w:rsid w:val="00785F46"/>
    <w:rsid w:val="007865F4"/>
    <w:rsid w:val="00786D5C"/>
    <w:rsid w:val="00786E96"/>
    <w:rsid w:val="00787DFF"/>
    <w:rsid w:val="00787F93"/>
    <w:rsid w:val="00791E6D"/>
    <w:rsid w:val="00791EB5"/>
    <w:rsid w:val="00793696"/>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D68"/>
    <w:rsid w:val="007E004B"/>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03B4"/>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407A7"/>
    <w:rsid w:val="0084322B"/>
    <w:rsid w:val="00843F81"/>
    <w:rsid w:val="00844087"/>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671"/>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227"/>
    <w:rsid w:val="008C04E0"/>
    <w:rsid w:val="008C191C"/>
    <w:rsid w:val="008C1DA4"/>
    <w:rsid w:val="008C29B0"/>
    <w:rsid w:val="008C2CD5"/>
    <w:rsid w:val="008C3618"/>
    <w:rsid w:val="008C43AD"/>
    <w:rsid w:val="008C6118"/>
    <w:rsid w:val="008C6341"/>
    <w:rsid w:val="008C731F"/>
    <w:rsid w:val="008C74D9"/>
    <w:rsid w:val="008D3B2D"/>
    <w:rsid w:val="008D58D9"/>
    <w:rsid w:val="008D5AD4"/>
    <w:rsid w:val="008D6DD5"/>
    <w:rsid w:val="008D6E59"/>
    <w:rsid w:val="008D7155"/>
    <w:rsid w:val="008E0B29"/>
    <w:rsid w:val="008E141A"/>
    <w:rsid w:val="008E1A44"/>
    <w:rsid w:val="008E28E6"/>
    <w:rsid w:val="008E3232"/>
    <w:rsid w:val="008E3674"/>
    <w:rsid w:val="008E3B6C"/>
    <w:rsid w:val="008E562C"/>
    <w:rsid w:val="008E77D4"/>
    <w:rsid w:val="008E7ADD"/>
    <w:rsid w:val="008F091F"/>
    <w:rsid w:val="008F17B2"/>
    <w:rsid w:val="008F22B3"/>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39A6"/>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CF1"/>
    <w:rsid w:val="00971F5D"/>
    <w:rsid w:val="009721E9"/>
    <w:rsid w:val="00973772"/>
    <w:rsid w:val="0097560A"/>
    <w:rsid w:val="00975E1E"/>
    <w:rsid w:val="00975E70"/>
    <w:rsid w:val="009761DE"/>
    <w:rsid w:val="009766FA"/>
    <w:rsid w:val="00977CD6"/>
    <w:rsid w:val="00980DF9"/>
    <w:rsid w:val="0098243D"/>
    <w:rsid w:val="00982D26"/>
    <w:rsid w:val="00983B6E"/>
    <w:rsid w:val="00983FE5"/>
    <w:rsid w:val="009849E9"/>
    <w:rsid w:val="009859E4"/>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4D8"/>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5347"/>
    <w:rsid w:val="009E663C"/>
    <w:rsid w:val="009E684A"/>
    <w:rsid w:val="009E6BB1"/>
    <w:rsid w:val="009E6E14"/>
    <w:rsid w:val="009F0494"/>
    <w:rsid w:val="009F0CD9"/>
    <w:rsid w:val="009F1A79"/>
    <w:rsid w:val="009F1F57"/>
    <w:rsid w:val="009F2DDD"/>
    <w:rsid w:val="009F3447"/>
    <w:rsid w:val="009F65F4"/>
    <w:rsid w:val="009F676B"/>
    <w:rsid w:val="009F6D2D"/>
    <w:rsid w:val="009F6D54"/>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5655"/>
    <w:rsid w:val="00A1740C"/>
    <w:rsid w:val="00A20069"/>
    <w:rsid w:val="00A2244D"/>
    <w:rsid w:val="00A2253D"/>
    <w:rsid w:val="00A247B8"/>
    <w:rsid w:val="00A2495A"/>
    <w:rsid w:val="00A24C7A"/>
    <w:rsid w:val="00A24D8F"/>
    <w:rsid w:val="00A25B8B"/>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FCC"/>
    <w:rsid w:val="00A70AA5"/>
    <w:rsid w:val="00A70C03"/>
    <w:rsid w:val="00A71256"/>
    <w:rsid w:val="00A7217B"/>
    <w:rsid w:val="00A73861"/>
    <w:rsid w:val="00A739A6"/>
    <w:rsid w:val="00A740ED"/>
    <w:rsid w:val="00A74C29"/>
    <w:rsid w:val="00A74C62"/>
    <w:rsid w:val="00A75EF9"/>
    <w:rsid w:val="00A8311C"/>
    <w:rsid w:val="00A835D0"/>
    <w:rsid w:val="00A84C5F"/>
    <w:rsid w:val="00A85930"/>
    <w:rsid w:val="00A863F7"/>
    <w:rsid w:val="00A86604"/>
    <w:rsid w:val="00A87519"/>
    <w:rsid w:val="00A9246D"/>
    <w:rsid w:val="00A9383F"/>
    <w:rsid w:val="00A93BD0"/>
    <w:rsid w:val="00A93CC2"/>
    <w:rsid w:val="00A974CC"/>
    <w:rsid w:val="00AA2001"/>
    <w:rsid w:val="00AA2B5C"/>
    <w:rsid w:val="00AA32D2"/>
    <w:rsid w:val="00AA4016"/>
    <w:rsid w:val="00AA4C1F"/>
    <w:rsid w:val="00AA5328"/>
    <w:rsid w:val="00AA5393"/>
    <w:rsid w:val="00AA63D4"/>
    <w:rsid w:val="00AB0069"/>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3A6F"/>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8E1"/>
    <w:rsid w:val="00B16715"/>
    <w:rsid w:val="00B1768E"/>
    <w:rsid w:val="00B17910"/>
    <w:rsid w:val="00B20F18"/>
    <w:rsid w:val="00B21516"/>
    <w:rsid w:val="00B21A37"/>
    <w:rsid w:val="00B21F62"/>
    <w:rsid w:val="00B22CE0"/>
    <w:rsid w:val="00B23738"/>
    <w:rsid w:val="00B23BEF"/>
    <w:rsid w:val="00B247BB"/>
    <w:rsid w:val="00B2504A"/>
    <w:rsid w:val="00B25EE6"/>
    <w:rsid w:val="00B26396"/>
    <w:rsid w:val="00B3115A"/>
    <w:rsid w:val="00B31825"/>
    <w:rsid w:val="00B31A5C"/>
    <w:rsid w:val="00B33B06"/>
    <w:rsid w:val="00B33C19"/>
    <w:rsid w:val="00B35A1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62FF"/>
    <w:rsid w:val="00B66679"/>
    <w:rsid w:val="00B70145"/>
    <w:rsid w:val="00B701B7"/>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263C"/>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D0014"/>
    <w:rsid w:val="00BD01D8"/>
    <w:rsid w:val="00BD0B85"/>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5D01"/>
    <w:rsid w:val="00C360B3"/>
    <w:rsid w:val="00C37027"/>
    <w:rsid w:val="00C37B19"/>
    <w:rsid w:val="00C413CB"/>
    <w:rsid w:val="00C42752"/>
    <w:rsid w:val="00C42973"/>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7223"/>
    <w:rsid w:val="00C707B8"/>
    <w:rsid w:val="00C712AC"/>
    <w:rsid w:val="00C71C15"/>
    <w:rsid w:val="00C71F3D"/>
    <w:rsid w:val="00C72F53"/>
    <w:rsid w:val="00C73E3B"/>
    <w:rsid w:val="00C74035"/>
    <w:rsid w:val="00C748EA"/>
    <w:rsid w:val="00C77818"/>
    <w:rsid w:val="00C8063F"/>
    <w:rsid w:val="00C81282"/>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745"/>
    <w:rsid w:val="00C95902"/>
    <w:rsid w:val="00C95B82"/>
    <w:rsid w:val="00C962E3"/>
    <w:rsid w:val="00C978E2"/>
    <w:rsid w:val="00C97997"/>
    <w:rsid w:val="00CA10A2"/>
    <w:rsid w:val="00CA1D83"/>
    <w:rsid w:val="00CA25C0"/>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D01CF9"/>
    <w:rsid w:val="00D0334D"/>
    <w:rsid w:val="00D0374D"/>
    <w:rsid w:val="00D06D7B"/>
    <w:rsid w:val="00D06DA5"/>
    <w:rsid w:val="00D07191"/>
    <w:rsid w:val="00D07F1D"/>
    <w:rsid w:val="00D10558"/>
    <w:rsid w:val="00D11D4D"/>
    <w:rsid w:val="00D126DC"/>
    <w:rsid w:val="00D12B03"/>
    <w:rsid w:val="00D13E70"/>
    <w:rsid w:val="00D16C58"/>
    <w:rsid w:val="00D17019"/>
    <w:rsid w:val="00D17FC8"/>
    <w:rsid w:val="00D20B44"/>
    <w:rsid w:val="00D21168"/>
    <w:rsid w:val="00D2438C"/>
    <w:rsid w:val="00D26C3F"/>
    <w:rsid w:val="00D27185"/>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B4C"/>
    <w:rsid w:val="00D45BA4"/>
    <w:rsid w:val="00D471AF"/>
    <w:rsid w:val="00D4724F"/>
    <w:rsid w:val="00D50519"/>
    <w:rsid w:val="00D51601"/>
    <w:rsid w:val="00D51ECB"/>
    <w:rsid w:val="00D5264C"/>
    <w:rsid w:val="00D52BBC"/>
    <w:rsid w:val="00D537FE"/>
    <w:rsid w:val="00D53CC9"/>
    <w:rsid w:val="00D54A6A"/>
    <w:rsid w:val="00D54B8F"/>
    <w:rsid w:val="00D55951"/>
    <w:rsid w:val="00D57EB6"/>
    <w:rsid w:val="00D608C0"/>
    <w:rsid w:val="00D60D6D"/>
    <w:rsid w:val="00D66725"/>
    <w:rsid w:val="00D66D8B"/>
    <w:rsid w:val="00D70849"/>
    <w:rsid w:val="00D72297"/>
    <w:rsid w:val="00D72A1C"/>
    <w:rsid w:val="00D7308F"/>
    <w:rsid w:val="00D7313E"/>
    <w:rsid w:val="00D73580"/>
    <w:rsid w:val="00D73802"/>
    <w:rsid w:val="00D73C2C"/>
    <w:rsid w:val="00D73D52"/>
    <w:rsid w:val="00D745E7"/>
    <w:rsid w:val="00D774ED"/>
    <w:rsid w:val="00D777C3"/>
    <w:rsid w:val="00D77C44"/>
    <w:rsid w:val="00D77F88"/>
    <w:rsid w:val="00D81AFA"/>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5D5"/>
    <w:rsid w:val="00D97DA2"/>
    <w:rsid w:val="00DA1A3A"/>
    <w:rsid w:val="00DA2351"/>
    <w:rsid w:val="00DA249E"/>
    <w:rsid w:val="00DA2D3D"/>
    <w:rsid w:val="00DA4C30"/>
    <w:rsid w:val="00DB145E"/>
    <w:rsid w:val="00DB1A94"/>
    <w:rsid w:val="00DB1D52"/>
    <w:rsid w:val="00DB1F62"/>
    <w:rsid w:val="00DB21E7"/>
    <w:rsid w:val="00DB2E03"/>
    <w:rsid w:val="00DB3742"/>
    <w:rsid w:val="00DB3E9B"/>
    <w:rsid w:val="00DB3F4B"/>
    <w:rsid w:val="00DB5375"/>
    <w:rsid w:val="00DB67C1"/>
    <w:rsid w:val="00DB6C0B"/>
    <w:rsid w:val="00DB70F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402C5"/>
    <w:rsid w:val="00E402F4"/>
    <w:rsid w:val="00E405F1"/>
    <w:rsid w:val="00E417DB"/>
    <w:rsid w:val="00E43054"/>
    <w:rsid w:val="00E44440"/>
    <w:rsid w:val="00E46013"/>
    <w:rsid w:val="00E47099"/>
    <w:rsid w:val="00E47284"/>
    <w:rsid w:val="00E477C3"/>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04E9"/>
    <w:rsid w:val="00F212F6"/>
    <w:rsid w:val="00F22756"/>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77A3"/>
    <w:rsid w:val="00F77F4E"/>
    <w:rsid w:val="00F80047"/>
    <w:rsid w:val="00F800C7"/>
    <w:rsid w:val="00F8104D"/>
    <w:rsid w:val="00F81587"/>
    <w:rsid w:val="00F8288F"/>
    <w:rsid w:val="00F84802"/>
    <w:rsid w:val="00F85B72"/>
    <w:rsid w:val="00F86540"/>
    <w:rsid w:val="00F865CE"/>
    <w:rsid w:val="00F8766F"/>
    <w:rsid w:val="00F91082"/>
    <w:rsid w:val="00F9116D"/>
    <w:rsid w:val="00F91A9A"/>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1E0236"/>
    <w:rsid w:val="01296D63"/>
    <w:rsid w:val="014660DF"/>
    <w:rsid w:val="014D0B1B"/>
    <w:rsid w:val="01846F0A"/>
    <w:rsid w:val="01A10636"/>
    <w:rsid w:val="01AF3D99"/>
    <w:rsid w:val="021F775D"/>
    <w:rsid w:val="023A697B"/>
    <w:rsid w:val="0249699A"/>
    <w:rsid w:val="02511F9D"/>
    <w:rsid w:val="02D603E7"/>
    <w:rsid w:val="02E32644"/>
    <w:rsid w:val="03690DF4"/>
    <w:rsid w:val="03966D7D"/>
    <w:rsid w:val="03A314B8"/>
    <w:rsid w:val="03BB6210"/>
    <w:rsid w:val="03D4186A"/>
    <w:rsid w:val="03D82B98"/>
    <w:rsid w:val="03F83E8B"/>
    <w:rsid w:val="048877B6"/>
    <w:rsid w:val="04A6582D"/>
    <w:rsid w:val="04C11604"/>
    <w:rsid w:val="04C255E7"/>
    <w:rsid w:val="053916B2"/>
    <w:rsid w:val="05467D77"/>
    <w:rsid w:val="054D10EA"/>
    <w:rsid w:val="05A54A04"/>
    <w:rsid w:val="05C56868"/>
    <w:rsid w:val="06853A16"/>
    <w:rsid w:val="06AD6473"/>
    <w:rsid w:val="06CB52EA"/>
    <w:rsid w:val="06D538C3"/>
    <w:rsid w:val="06E65BE3"/>
    <w:rsid w:val="07412078"/>
    <w:rsid w:val="07693436"/>
    <w:rsid w:val="07701E25"/>
    <w:rsid w:val="07876C6B"/>
    <w:rsid w:val="07B72767"/>
    <w:rsid w:val="07BA0CBB"/>
    <w:rsid w:val="07DC6077"/>
    <w:rsid w:val="08001CD3"/>
    <w:rsid w:val="08077E72"/>
    <w:rsid w:val="085B1141"/>
    <w:rsid w:val="08882DD0"/>
    <w:rsid w:val="089C37E9"/>
    <w:rsid w:val="08EA30D5"/>
    <w:rsid w:val="095F264D"/>
    <w:rsid w:val="0965109E"/>
    <w:rsid w:val="098E58FB"/>
    <w:rsid w:val="09AB4631"/>
    <w:rsid w:val="09B12D77"/>
    <w:rsid w:val="09CC2AAC"/>
    <w:rsid w:val="09E967C0"/>
    <w:rsid w:val="09ED4C49"/>
    <w:rsid w:val="09F02705"/>
    <w:rsid w:val="0A140428"/>
    <w:rsid w:val="0A4221F8"/>
    <w:rsid w:val="0A4B3462"/>
    <w:rsid w:val="0A5E6C66"/>
    <w:rsid w:val="0A652D3E"/>
    <w:rsid w:val="0A786C09"/>
    <w:rsid w:val="0B221623"/>
    <w:rsid w:val="0B2837AC"/>
    <w:rsid w:val="0B2E5519"/>
    <w:rsid w:val="0B3222C4"/>
    <w:rsid w:val="0B326F2A"/>
    <w:rsid w:val="0B994316"/>
    <w:rsid w:val="0BA37033"/>
    <w:rsid w:val="0BF50D12"/>
    <w:rsid w:val="0C1E2888"/>
    <w:rsid w:val="0C553FF1"/>
    <w:rsid w:val="0C790A16"/>
    <w:rsid w:val="0C92213C"/>
    <w:rsid w:val="0CBD4061"/>
    <w:rsid w:val="0CD42CF6"/>
    <w:rsid w:val="0D84032B"/>
    <w:rsid w:val="0DAD4E1B"/>
    <w:rsid w:val="0DB250A9"/>
    <w:rsid w:val="0E466046"/>
    <w:rsid w:val="0E573A15"/>
    <w:rsid w:val="0E651252"/>
    <w:rsid w:val="0E721BC1"/>
    <w:rsid w:val="0E893519"/>
    <w:rsid w:val="0EC77B13"/>
    <w:rsid w:val="0EE54733"/>
    <w:rsid w:val="0F090AE3"/>
    <w:rsid w:val="0F0E52AF"/>
    <w:rsid w:val="0F2354B2"/>
    <w:rsid w:val="0F2A74C4"/>
    <w:rsid w:val="0F383CAC"/>
    <w:rsid w:val="0F39391B"/>
    <w:rsid w:val="0F845524"/>
    <w:rsid w:val="105478B6"/>
    <w:rsid w:val="10710D73"/>
    <w:rsid w:val="10A27F31"/>
    <w:rsid w:val="10D4446D"/>
    <w:rsid w:val="10FF76AA"/>
    <w:rsid w:val="11265D4D"/>
    <w:rsid w:val="1129598E"/>
    <w:rsid w:val="115D1650"/>
    <w:rsid w:val="118660F8"/>
    <w:rsid w:val="11927058"/>
    <w:rsid w:val="11B32774"/>
    <w:rsid w:val="11C37223"/>
    <w:rsid w:val="11DD31A4"/>
    <w:rsid w:val="11E54122"/>
    <w:rsid w:val="12114A3C"/>
    <w:rsid w:val="12402AAD"/>
    <w:rsid w:val="1248718E"/>
    <w:rsid w:val="12814C8D"/>
    <w:rsid w:val="128B0B07"/>
    <w:rsid w:val="132D7C1A"/>
    <w:rsid w:val="13AF4F03"/>
    <w:rsid w:val="13BD1311"/>
    <w:rsid w:val="13CC3B21"/>
    <w:rsid w:val="13E43246"/>
    <w:rsid w:val="14736E66"/>
    <w:rsid w:val="1478581C"/>
    <w:rsid w:val="147C480C"/>
    <w:rsid w:val="147F458F"/>
    <w:rsid w:val="14B26E0F"/>
    <w:rsid w:val="14D348AA"/>
    <w:rsid w:val="14DB1649"/>
    <w:rsid w:val="14F754D2"/>
    <w:rsid w:val="15066C06"/>
    <w:rsid w:val="1534169A"/>
    <w:rsid w:val="154A73F4"/>
    <w:rsid w:val="15A8393C"/>
    <w:rsid w:val="15BF1969"/>
    <w:rsid w:val="15C03E03"/>
    <w:rsid w:val="162A25EB"/>
    <w:rsid w:val="16575097"/>
    <w:rsid w:val="1668617B"/>
    <w:rsid w:val="168A3514"/>
    <w:rsid w:val="16D276A1"/>
    <w:rsid w:val="16D95A69"/>
    <w:rsid w:val="16DD2110"/>
    <w:rsid w:val="16DD3857"/>
    <w:rsid w:val="16FD2A55"/>
    <w:rsid w:val="17067C1A"/>
    <w:rsid w:val="172872C1"/>
    <w:rsid w:val="17347CCD"/>
    <w:rsid w:val="17366761"/>
    <w:rsid w:val="175F3AA7"/>
    <w:rsid w:val="17687AF5"/>
    <w:rsid w:val="176A38DA"/>
    <w:rsid w:val="176A7B37"/>
    <w:rsid w:val="177C01F0"/>
    <w:rsid w:val="17CE6630"/>
    <w:rsid w:val="181B4AC2"/>
    <w:rsid w:val="18221518"/>
    <w:rsid w:val="185B7E07"/>
    <w:rsid w:val="18C60C32"/>
    <w:rsid w:val="18D55226"/>
    <w:rsid w:val="18E3797A"/>
    <w:rsid w:val="19121124"/>
    <w:rsid w:val="19133826"/>
    <w:rsid w:val="193D4F30"/>
    <w:rsid w:val="19673CE1"/>
    <w:rsid w:val="1A050B33"/>
    <w:rsid w:val="1A9865F5"/>
    <w:rsid w:val="1AB40D66"/>
    <w:rsid w:val="1AE36877"/>
    <w:rsid w:val="1AFF0AFE"/>
    <w:rsid w:val="1B256F50"/>
    <w:rsid w:val="1B267FBB"/>
    <w:rsid w:val="1B4F19F8"/>
    <w:rsid w:val="1B852F33"/>
    <w:rsid w:val="1B957356"/>
    <w:rsid w:val="1B9E3FF5"/>
    <w:rsid w:val="1BC526EC"/>
    <w:rsid w:val="1BD24C54"/>
    <w:rsid w:val="1BD738A9"/>
    <w:rsid w:val="1C0D0BCA"/>
    <w:rsid w:val="1C62772B"/>
    <w:rsid w:val="1C7D6151"/>
    <w:rsid w:val="1C8C02F2"/>
    <w:rsid w:val="1CA259C4"/>
    <w:rsid w:val="1CC63804"/>
    <w:rsid w:val="1D2D255F"/>
    <w:rsid w:val="1D3A7D4E"/>
    <w:rsid w:val="1E581B0B"/>
    <w:rsid w:val="1E5B3081"/>
    <w:rsid w:val="1EA068A8"/>
    <w:rsid w:val="1ECC44FA"/>
    <w:rsid w:val="1ED55F80"/>
    <w:rsid w:val="1EFF2FFD"/>
    <w:rsid w:val="1F063325"/>
    <w:rsid w:val="1F134CFA"/>
    <w:rsid w:val="1F42113B"/>
    <w:rsid w:val="1F444EB4"/>
    <w:rsid w:val="1F5C21FD"/>
    <w:rsid w:val="1FAD2A59"/>
    <w:rsid w:val="1FBC5DF5"/>
    <w:rsid w:val="1FCA53B9"/>
    <w:rsid w:val="1FE82B2E"/>
    <w:rsid w:val="1FEB03F4"/>
    <w:rsid w:val="1FF94217"/>
    <w:rsid w:val="20004555"/>
    <w:rsid w:val="208700A8"/>
    <w:rsid w:val="209A500F"/>
    <w:rsid w:val="20C3623F"/>
    <w:rsid w:val="20D653EB"/>
    <w:rsid w:val="20DC7616"/>
    <w:rsid w:val="20F6551B"/>
    <w:rsid w:val="2156726A"/>
    <w:rsid w:val="21776609"/>
    <w:rsid w:val="21781212"/>
    <w:rsid w:val="21B83F86"/>
    <w:rsid w:val="21E55516"/>
    <w:rsid w:val="21FC2675"/>
    <w:rsid w:val="221178A8"/>
    <w:rsid w:val="221213CF"/>
    <w:rsid w:val="22327A92"/>
    <w:rsid w:val="22525B39"/>
    <w:rsid w:val="226C3FA8"/>
    <w:rsid w:val="22AC6FF8"/>
    <w:rsid w:val="22B8599C"/>
    <w:rsid w:val="22C753B4"/>
    <w:rsid w:val="22DE0045"/>
    <w:rsid w:val="22FB7F7F"/>
    <w:rsid w:val="231B23CF"/>
    <w:rsid w:val="231D53A2"/>
    <w:rsid w:val="23696C6B"/>
    <w:rsid w:val="236D5383"/>
    <w:rsid w:val="237738F9"/>
    <w:rsid w:val="23A05265"/>
    <w:rsid w:val="23B7504C"/>
    <w:rsid w:val="24571307"/>
    <w:rsid w:val="24926F48"/>
    <w:rsid w:val="24B10DA5"/>
    <w:rsid w:val="24BB5C18"/>
    <w:rsid w:val="24F65E32"/>
    <w:rsid w:val="25110A2A"/>
    <w:rsid w:val="256C0944"/>
    <w:rsid w:val="258E7D9D"/>
    <w:rsid w:val="263F5ACC"/>
    <w:rsid w:val="26446DE3"/>
    <w:rsid w:val="264B2FCC"/>
    <w:rsid w:val="269669E7"/>
    <w:rsid w:val="26B01A5B"/>
    <w:rsid w:val="26D11723"/>
    <w:rsid w:val="26D60AE7"/>
    <w:rsid w:val="26D7699F"/>
    <w:rsid w:val="270C54E6"/>
    <w:rsid w:val="272A4734"/>
    <w:rsid w:val="27383323"/>
    <w:rsid w:val="27606603"/>
    <w:rsid w:val="276D5C76"/>
    <w:rsid w:val="27770860"/>
    <w:rsid w:val="27976046"/>
    <w:rsid w:val="27BF20A1"/>
    <w:rsid w:val="28127FFA"/>
    <w:rsid w:val="283A3FD5"/>
    <w:rsid w:val="28446903"/>
    <w:rsid w:val="2879537A"/>
    <w:rsid w:val="28D21782"/>
    <w:rsid w:val="28E62B38"/>
    <w:rsid w:val="299F6A95"/>
    <w:rsid w:val="29C76AE9"/>
    <w:rsid w:val="29F25B60"/>
    <w:rsid w:val="2A291F75"/>
    <w:rsid w:val="2A3C3680"/>
    <w:rsid w:val="2A3D50C6"/>
    <w:rsid w:val="2A5C1BE5"/>
    <w:rsid w:val="2A6959DB"/>
    <w:rsid w:val="2A824FEB"/>
    <w:rsid w:val="2AAC66A7"/>
    <w:rsid w:val="2AAE58D7"/>
    <w:rsid w:val="2AD03EB5"/>
    <w:rsid w:val="2B774624"/>
    <w:rsid w:val="2BD66D0B"/>
    <w:rsid w:val="2BF41F1C"/>
    <w:rsid w:val="2C3342E6"/>
    <w:rsid w:val="2C7A72BE"/>
    <w:rsid w:val="2C9A7D75"/>
    <w:rsid w:val="2CBB5499"/>
    <w:rsid w:val="2CBF49F8"/>
    <w:rsid w:val="2CE306CF"/>
    <w:rsid w:val="2CF73565"/>
    <w:rsid w:val="2D1155B6"/>
    <w:rsid w:val="2D683BC1"/>
    <w:rsid w:val="2E3B56D4"/>
    <w:rsid w:val="2E9657E0"/>
    <w:rsid w:val="2E9976CE"/>
    <w:rsid w:val="2EE84004"/>
    <w:rsid w:val="2EF96D01"/>
    <w:rsid w:val="2F1E39ED"/>
    <w:rsid w:val="2F401D3C"/>
    <w:rsid w:val="2F58411F"/>
    <w:rsid w:val="2F5B24E1"/>
    <w:rsid w:val="2F997218"/>
    <w:rsid w:val="2FA01877"/>
    <w:rsid w:val="2FA95C88"/>
    <w:rsid w:val="2FBC06BE"/>
    <w:rsid w:val="2FC811E9"/>
    <w:rsid w:val="2FF50E32"/>
    <w:rsid w:val="3041370F"/>
    <w:rsid w:val="3043555D"/>
    <w:rsid w:val="30B1525C"/>
    <w:rsid w:val="312B50A3"/>
    <w:rsid w:val="31456670"/>
    <w:rsid w:val="31507CF6"/>
    <w:rsid w:val="318672BB"/>
    <w:rsid w:val="31BB0900"/>
    <w:rsid w:val="31E42682"/>
    <w:rsid w:val="32453A27"/>
    <w:rsid w:val="3263064A"/>
    <w:rsid w:val="32A10D3A"/>
    <w:rsid w:val="32A43132"/>
    <w:rsid w:val="32A93091"/>
    <w:rsid w:val="32AC0C06"/>
    <w:rsid w:val="32CA0CE2"/>
    <w:rsid w:val="32D83E39"/>
    <w:rsid w:val="32D95BE5"/>
    <w:rsid w:val="32E31C48"/>
    <w:rsid w:val="33344EF5"/>
    <w:rsid w:val="336F42ED"/>
    <w:rsid w:val="33877A9E"/>
    <w:rsid w:val="341E733C"/>
    <w:rsid w:val="3422536C"/>
    <w:rsid w:val="345D6CAF"/>
    <w:rsid w:val="34806536"/>
    <w:rsid w:val="34F20B90"/>
    <w:rsid w:val="35196C1C"/>
    <w:rsid w:val="3537750C"/>
    <w:rsid w:val="3537798C"/>
    <w:rsid w:val="35494E1D"/>
    <w:rsid w:val="354A3136"/>
    <w:rsid w:val="35633FD8"/>
    <w:rsid w:val="35A609FE"/>
    <w:rsid w:val="35C13FC9"/>
    <w:rsid w:val="35C65A8F"/>
    <w:rsid w:val="35F65D84"/>
    <w:rsid w:val="35FF0B2E"/>
    <w:rsid w:val="364257B6"/>
    <w:rsid w:val="369D517D"/>
    <w:rsid w:val="36AF7F1C"/>
    <w:rsid w:val="36B260C9"/>
    <w:rsid w:val="37081506"/>
    <w:rsid w:val="370E6583"/>
    <w:rsid w:val="371A4A20"/>
    <w:rsid w:val="37313B18"/>
    <w:rsid w:val="376E1DDC"/>
    <w:rsid w:val="377A726D"/>
    <w:rsid w:val="378818B3"/>
    <w:rsid w:val="379849C6"/>
    <w:rsid w:val="37CE620D"/>
    <w:rsid w:val="37DB7ED6"/>
    <w:rsid w:val="37EA5922"/>
    <w:rsid w:val="38276B93"/>
    <w:rsid w:val="38284CDC"/>
    <w:rsid w:val="384A4DB1"/>
    <w:rsid w:val="38601F69"/>
    <w:rsid w:val="38AA3972"/>
    <w:rsid w:val="38AC3431"/>
    <w:rsid w:val="38FF5781"/>
    <w:rsid w:val="392F2E16"/>
    <w:rsid w:val="39327F3F"/>
    <w:rsid w:val="393303C2"/>
    <w:rsid w:val="39494772"/>
    <w:rsid w:val="3971644D"/>
    <w:rsid w:val="39902D77"/>
    <w:rsid w:val="39972094"/>
    <w:rsid w:val="39E00529"/>
    <w:rsid w:val="39E9692C"/>
    <w:rsid w:val="3A0B64A7"/>
    <w:rsid w:val="3A574DDA"/>
    <w:rsid w:val="3A730392"/>
    <w:rsid w:val="3AA0523C"/>
    <w:rsid w:val="3AB807D8"/>
    <w:rsid w:val="3AD3075A"/>
    <w:rsid w:val="3AE175D5"/>
    <w:rsid w:val="3AF74C02"/>
    <w:rsid w:val="3AFC08F1"/>
    <w:rsid w:val="3AFC60C8"/>
    <w:rsid w:val="3B2937CC"/>
    <w:rsid w:val="3B8A50BE"/>
    <w:rsid w:val="3BD526EC"/>
    <w:rsid w:val="3BE60869"/>
    <w:rsid w:val="3C0059A5"/>
    <w:rsid w:val="3C134E78"/>
    <w:rsid w:val="3C6530A6"/>
    <w:rsid w:val="3C714A9C"/>
    <w:rsid w:val="3C7F2B87"/>
    <w:rsid w:val="3CDC7282"/>
    <w:rsid w:val="3D0C6BB9"/>
    <w:rsid w:val="3D8C64F7"/>
    <w:rsid w:val="3DB17667"/>
    <w:rsid w:val="3DC365B3"/>
    <w:rsid w:val="3DC420B5"/>
    <w:rsid w:val="3DEB0EC4"/>
    <w:rsid w:val="3DEE6DAB"/>
    <w:rsid w:val="3DF6345D"/>
    <w:rsid w:val="3DFC3D0B"/>
    <w:rsid w:val="3E4D4F28"/>
    <w:rsid w:val="3E54217C"/>
    <w:rsid w:val="3E916CCD"/>
    <w:rsid w:val="3EA03A5D"/>
    <w:rsid w:val="3EAD4D9F"/>
    <w:rsid w:val="3EE13701"/>
    <w:rsid w:val="3EE26F60"/>
    <w:rsid w:val="3F1A4BB3"/>
    <w:rsid w:val="3F7A2500"/>
    <w:rsid w:val="3F896B88"/>
    <w:rsid w:val="3FBB5ABD"/>
    <w:rsid w:val="3FC04693"/>
    <w:rsid w:val="3FEF6661"/>
    <w:rsid w:val="40026BCD"/>
    <w:rsid w:val="40192BA6"/>
    <w:rsid w:val="40292CAE"/>
    <w:rsid w:val="403D3B98"/>
    <w:rsid w:val="405F4B20"/>
    <w:rsid w:val="40803F49"/>
    <w:rsid w:val="40815215"/>
    <w:rsid w:val="40BC4452"/>
    <w:rsid w:val="40C17586"/>
    <w:rsid w:val="41990C37"/>
    <w:rsid w:val="41C448B9"/>
    <w:rsid w:val="41FD11C6"/>
    <w:rsid w:val="420171BA"/>
    <w:rsid w:val="424D34B1"/>
    <w:rsid w:val="42550A18"/>
    <w:rsid w:val="428D5006"/>
    <w:rsid w:val="429D496A"/>
    <w:rsid w:val="42C41CE4"/>
    <w:rsid w:val="42EA48FB"/>
    <w:rsid w:val="42EC3685"/>
    <w:rsid w:val="42F473A1"/>
    <w:rsid w:val="42FF6E68"/>
    <w:rsid w:val="432509D4"/>
    <w:rsid w:val="433E1A96"/>
    <w:rsid w:val="4340580E"/>
    <w:rsid w:val="436F7EA2"/>
    <w:rsid w:val="439C056B"/>
    <w:rsid w:val="43BE76D8"/>
    <w:rsid w:val="43D703C3"/>
    <w:rsid w:val="43F3462F"/>
    <w:rsid w:val="441E62C0"/>
    <w:rsid w:val="4455493F"/>
    <w:rsid w:val="445F620B"/>
    <w:rsid w:val="44700239"/>
    <w:rsid w:val="44BD51A3"/>
    <w:rsid w:val="44BE2E8F"/>
    <w:rsid w:val="45171E31"/>
    <w:rsid w:val="45325D14"/>
    <w:rsid w:val="45571618"/>
    <w:rsid w:val="45811C7C"/>
    <w:rsid w:val="45A91470"/>
    <w:rsid w:val="45C02060"/>
    <w:rsid w:val="45C42125"/>
    <w:rsid w:val="460C7C2A"/>
    <w:rsid w:val="462349C7"/>
    <w:rsid w:val="462C2EB0"/>
    <w:rsid w:val="46410AC4"/>
    <w:rsid w:val="468B3EFB"/>
    <w:rsid w:val="468F2DE5"/>
    <w:rsid w:val="46FD0B3A"/>
    <w:rsid w:val="470A6193"/>
    <w:rsid w:val="47385210"/>
    <w:rsid w:val="477F63F9"/>
    <w:rsid w:val="47DB78B4"/>
    <w:rsid w:val="47DC4F5C"/>
    <w:rsid w:val="482A5A71"/>
    <w:rsid w:val="484156F8"/>
    <w:rsid w:val="48711AF2"/>
    <w:rsid w:val="48871F58"/>
    <w:rsid w:val="48B40671"/>
    <w:rsid w:val="48C86F6B"/>
    <w:rsid w:val="48CE7418"/>
    <w:rsid w:val="49044BE8"/>
    <w:rsid w:val="49301E81"/>
    <w:rsid w:val="49340FFE"/>
    <w:rsid w:val="494920D5"/>
    <w:rsid w:val="495A16A7"/>
    <w:rsid w:val="49964A7A"/>
    <w:rsid w:val="499B5738"/>
    <w:rsid w:val="499F244D"/>
    <w:rsid w:val="49B26D3A"/>
    <w:rsid w:val="49F031DE"/>
    <w:rsid w:val="4A0C2F2A"/>
    <w:rsid w:val="4A2001EB"/>
    <w:rsid w:val="4A2205BD"/>
    <w:rsid w:val="4A4A6F73"/>
    <w:rsid w:val="4A822252"/>
    <w:rsid w:val="4A973F3F"/>
    <w:rsid w:val="4AC00FE3"/>
    <w:rsid w:val="4AD4737D"/>
    <w:rsid w:val="4AF93E2D"/>
    <w:rsid w:val="4AF96BC7"/>
    <w:rsid w:val="4AFF1B0B"/>
    <w:rsid w:val="4B09086A"/>
    <w:rsid w:val="4B352633"/>
    <w:rsid w:val="4B676159"/>
    <w:rsid w:val="4B862A85"/>
    <w:rsid w:val="4B8D35BB"/>
    <w:rsid w:val="4B95731A"/>
    <w:rsid w:val="4BB7538F"/>
    <w:rsid w:val="4BDC597A"/>
    <w:rsid w:val="4C367A94"/>
    <w:rsid w:val="4C427000"/>
    <w:rsid w:val="4C5C4D3B"/>
    <w:rsid w:val="4C683B50"/>
    <w:rsid w:val="4CBD3A2C"/>
    <w:rsid w:val="4CEF36E2"/>
    <w:rsid w:val="4CEF4DC5"/>
    <w:rsid w:val="4D8F6B17"/>
    <w:rsid w:val="4E1C741F"/>
    <w:rsid w:val="4E257655"/>
    <w:rsid w:val="4E5008D0"/>
    <w:rsid w:val="4E8B1908"/>
    <w:rsid w:val="4E9407BC"/>
    <w:rsid w:val="4EA57D39"/>
    <w:rsid w:val="4ECA6191"/>
    <w:rsid w:val="4EFB41D9"/>
    <w:rsid w:val="4F1A4B78"/>
    <w:rsid w:val="4F217AC1"/>
    <w:rsid w:val="4F365D17"/>
    <w:rsid w:val="4F372380"/>
    <w:rsid w:val="4F372FFB"/>
    <w:rsid w:val="4F8977D9"/>
    <w:rsid w:val="50102550"/>
    <w:rsid w:val="50B70E76"/>
    <w:rsid w:val="50C0676D"/>
    <w:rsid w:val="510548D2"/>
    <w:rsid w:val="510E3B9E"/>
    <w:rsid w:val="511D2CEB"/>
    <w:rsid w:val="511F5AA4"/>
    <w:rsid w:val="51275918"/>
    <w:rsid w:val="513B13C3"/>
    <w:rsid w:val="5205368C"/>
    <w:rsid w:val="521F6F37"/>
    <w:rsid w:val="52395ECD"/>
    <w:rsid w:val="528E12DF"/>
    <w:rsid w:val="52A55BFD"/>
    <w:rsid w:val="52C10D75"/>
    <w:rsid w:val="52C9005E"/>
    <w:rsid w:val="52DE64AA"/>
    <w:rsid w:val="52E52EC9"/>
    <w:rsid w:val="530A0AF5"/>
    <w:rsid w:val="53423D16"/>
    <w:rsid w:val="53C27FF8"/>
    <w:rsid w:val="541F082E"/>
    <w:rsid w:val="54756AFF"/>
    <w:rsid w:val="549E1A80"/>
    <w:rsid w:val="54A0316A"/>
    <w:rsid w:val="54C658F4"/>
    <w:rsid w:val="55057D15"/>
    <w:rsid w:val="550C4BD7"/>
    <w:rsid w:val="551E046F"/>
    <w:rsid w:val="554C1D56"/>
    <w:rsid w:val="55572986"/>
    <w:rsid w:val="55587867"/>
    <w:rsid w:val="555C0281"/>
    <w:rsid w:val="55711857"/>
    <w:rsid w:val="559D2106"/>
    <w:rsid w:val="55AD6577"/>
    <w:rsid w:val="55B913DC"/>
    <w:rsid w:val="56335126"/>
    <w:rsid w:val="56384123"/>
    <w:rsid w:val="565340FA"/>
    <w:rsid w:val="56587DD5"/>
    <w:rsid w:val="56615D9D"/>
    <w:rsid w:val="56B15CB8"/>
    <w:rsid w:val="56F50139"/>
    <w:rsid w:val="570F30D6"/>
    <w:rsid w:val="573251D7"/>
    <w:rsid w:val="577B076B"/>
    <w:rsid w:val="578853C6"/>
    <w:rsid w:val="578D07EF"/>
    <w:rsid w:val="57C945D3"/>
    <w:rsid w:val="57E91CCB"/>
    <w:rsid w:val="5817655F"/>
    <w:rsid w:val="58A43E28"/>
    <w:rsid w:val="58C83E84"/>
    <w:rsid w:val="58F246FB"/>
    <w:rsid w:val="590F3861"/>
    <w:rsid w:val="59704A6A"/>
    <w:rsid w:val="5989162B"/>
    <w:rsid w:val="59FE7432"/>
    <w:rsid w:val="5A054C64"/>
    <w:rsid w:val="5A097358"/>
    <w:rsid w:val="5A0C7DA1"/>
    <w:rsid w:val="5A2F2CC8"/>
    <w:rsid w:val="5A80119A"/>
    <w:rsid w:val="5AF96577"/>
    <w:rsid w:val="5B0E7B48"/>
    <w:rsid w:val="5B18589B"/>
    <w:rsid w:val="5B5A3994"/>
    <w:rsid w:val="5B6B6D49"/>
    <w:rsid w:val="5BB65F2F"/>
    <w:rsid w:val="5C10702D"/>
    <w:rsid w:val="5C152601"/>
    <w:rsid w:val="5C2F2660"/>
    <w:rsid w:val="5C4D2A9D"/>
    <w:rsid w:val="5C8A1B2F"/>
    <w:rsid w:val="5CDB7082"/>
    <w:rsid w:val="5D533B5A"/>
    <w:rsid w:val="5DC6470A"/>
    <w:rsid w:val="5DC664B8"/>
    <w:rsid w:val="5DFB447D"/>
    <w:rsid w:val="5E9F7435"/>
    <w:rsid w:val="5EDC2437"/>
    <w:rsid w:val="5F0E1492"/>
    <w:rsid w:val="5F1B1D65"/>
    <w:rsid w:val="5F3F4774"/>
    <w:rsid w:val="5F65260A"/>
    <w:rsid w:val="5F7408D9"/>
    <w:rsid w:val="5FDD3B55"/>
    <w:rsid w:val="602E7B72"/>
    <w:rsid w:val="606007BB"/>
    <w:rsid w:val="60AC7F66"/>
    <w:rsid w:val="60C26B4A"/>
    <w:rsid w:val="60D15F75"/>
    <w:rsid w:val="60D4713E"/>
    <w:rsid w:val="60ED627F"/>
    <w:rsid w:val="61966FC9"/>
    <w:rsid w:val="6197160F"/>
    <w:rsid w:val="61BF10D9"/>
    <w:rsid w:val="61DE0274"/>
    <w:rsid w:val="61F5736C"/>
    <w:rsid w:val="62563214"/>
    <w:rsid w:val="62774225"/>
    <w:rsid w:val="62885BF2"/>
    <w:rsid w:val="629F118F"/>
    <w:rsid w:val="62AC22DC"/>
    <w:rsid w:val="62ED570E"/>
    <w:rsid w:val="62F15D85"/>
    <w:rsid w:val="634E586F"/>
    <w:rsid w:val="635E4DF1"/>
    <w:rsid w:val="63D414A8"/>
    <w:rsid w:val="642345CA"/>
    <w:rsid w:val="64386CAD"/>
    <w:rsid w:val="644B0DA1"/>
    <w:rsid w:val="64737DAE"/>
    <w:rsid w:val="647740D2"/>
    <w:rsid w:val="64BF1089"/>
    <w:rsid w:val="64D47CC7"/>
    <w:rsid w:val="64E45EF7"/>
    <w:rsid w:val="64EC25D5"/>
    <w:rsid w:val="64F27D9C"/>
    <w:rsid w:val="65281004"/>
    <w:rsid w:val="65711400"/>
    <w:rsid w:val="65D85788"/>
    <w:rsid w:val="65F33854"/>
    <w:rsid w:val="660D3665"/>
    <w:rsid w:val="666769F4"/>
    <w:rsid w:val="668D4017"/>
    <w:rsid w:val="6691014E"/>
    <w:rsid w:val="66B00FAC"/>
    <w:rsid w:val="66B772E6"/>
    <w:rsid w:val="66C40D7D"/>
    <w:rsid w:val="66DC0AFB"/>
    <w:rsid w:val="66FF6651"/>
    <w:rsid w:val="67317098"/>
    <w:rsid w:val="674C4CC8"/>
    <w:rsid w:val="675B44A0"/>
    <w:rsid w:val="677435B2"/>
    <w:rsid w:val="678F3DBF"/>
    <w:rsid w:val="67E72F51"/>
    <w:rsid w:val="67EE1AE6"/>
    <w:rsid w:val="67EF75F1"/>
    <w:rsid w:val="681B5393"/>
    <w:rsid w:val="681E6EE4"/>
    <w:rsid w:val="686F0D37"/>
    <w:rsid w:val="687B2129"/>
    <w:rsid w:val="689526D7"/>
    <w:rsid w:val="68A2503E"/>
    <w:rsid w:val="68AC5642"/>
    <w:rsid w:val="69124F16"/>
    <w:rsid w:val="691D4333"/>
    <w:rsid w:val="693F6C67"/>
    <w:rsid w:val="694035C3"/>
    <w:rsid w:val="69423F0A"/>
    <w:rsid w:val="694E26F9"/>
    <w:rsid w:val="696403F8"/>
    <w:rsid w:val="69646CC6"/>
    <w:rsid w:val="69CD5C14"/>
    <w:rsid w:val="69CF0D33"/>
    <w:rsid w:val="6A5601F1"/>
    <w:rsid w:val="6A986382"/>
    <w:rsid w:val="6B736872"/>
    <w:rsid w:val="6B985938"/>
    <w:rsid w:val="6B9946B3"/>
    <w:rsid w:val="6BE7410A"/>
    <w:rsid w:val="6BE837E0"/>
    <w:rsid w:val="6C323E38"/>
    <w:rsid w:val="6C383CC2"/>
    <w:rsid w:val="6C416227"/>
    <w:rsid w:val="6C4B0B24"/>
    <w:rsid w:val="6C5A1C03"/>
    <w:rsid w:val="6C7007C7"/>
    <w:rsid w:val="6D6B75C1"/>
    <w:rsid w:val="6D71007A"/>
    <w:rsid w:val="6D7F14AB"/>
    <w:rsid w:val="6D8176B0"/>
    <w:rsid w:val="6D997745"/>
    <w:rsid w:val="6DA73C62"/>
    <w:rsid w:val="6DC9627D"/>
    <w:rsid w:val="6DCF333F"/>
    <w:rsid w:val="6DE76850"/>
    <w:rsid w:val="6E093B18"/>
    <w:rsid w:val="6E0A32F1"/>
    <w:rsid w:val="6E0B60C8"/>
    <w:rsid w:val="6E0B693E"/>
    <w:rsid w:val="6E1D288E"/>
    <w:rsid w:val="6E2123E6"/>
    <w:rsid w:val="6E3851B0"/>
    <w:rsid w:val="6E3B4664"/>
    <w:rsid w:val="6EC673B6"/>
    <w:rsid w:val="6ECC4355"/>
    <w:rsid w:val="6F211DF5"/>
    <w:rsid w:val="6F371753"/>
    <w:rsid w:val="6F404D14"/>
    <w:rsid w:val="6F8D751B"/>
    <w:rsid w:val="6FA975D6"/>
    <w:rsid w:val="6FAA37EA"/>
    <w:rsid w:val="6FAD744E"/>
    <w:rsid w:val="6FB20BD4"/>
    <w:rsid w:val="6FBA59BE"/>
    <w:rsid w:val="6FBD18A2"/>
    <w:rsid w:val="6FE04DEB"/>
    <w:rsid w:val="70296B3E"/>
    <w:rsid w:val="7054516F"/>
    <w:rsid w:val="70611204"/>
    <w:rsid w:val="708E64CF"/>
    <w:rsid w:val="70C345EE"/>
    <w:rsid w:val="70C745CA"/>
    <w:rsid w:val="70DC2DFF"/>
    <w:rsid w:val="70F26F59"/>
    <w:rsid w:val="70FA499F"/>
    <w:rsid w:val="7115215A"/>
    <w:rsid w:val="71416303"/>
    <w:rsid w:val="71531411"/>
    <w:rsid w:val="719653AE"/>
    <w:rsid w:val="71B3699C"/>
    <w:rsid w:val="71C31235"/>
    <w:rsid w:val="71FE401B"/>
    <w:rsid w:val="72055777"/>
    <w:rsid w:val="721063D8"/>
    <w:rsid w:val="722C10CD"/>
    <w:rsid w:val="724A41AD"/>
    <w:rsid w:val="72682363"/>
    <w:rsid w:val="72A71BDB"/>
    <w:rsid w:val="72FF104B"/>
    <w:rsid w:val="732A432B"/>
    <w:rsid w:val="73C3551C"/>
    <w:rsid w:val="73EE1C01"/>
    <w:rsid w:val="73F7DACE"/>
    <w:rsid w:val="7426655C"/>
    <w:rsid w:val="746C3F53"/>
    <w:rsid w:val="74A50731"/>
    <w:rsid w:val="74E7348C"/>
    <w:rsid w:val="74FA2C30"/>
    <w:rsid w:val="74FF4332"/>
    <w:rsid w:val="751C68D2"/>
    <w:rsid w:val="751D6BF6"/>
    <w:rsid w:val="754D5C4B"/>
    <w:rsid w:val="758B68E5"/>
    <w:rsid w:val="75CB344D"/>
    <w:rsid w:val="75FF0362"/>
    <w:rsid w:val="7634448F"/>
    <w:rsid w:val="763B10DD"/>
    <w:rsid w:val="76756D7E"/>
    <w:rsid w:val="76C240A7"/>
    <w:rsid w:val="77175228"/>
    <w:rsid w:val="775246B7"/>
    <w:rsid w:val="7785743B"/>
    <w:rsid w:val="778D031B"/>
    <w:rsid w:val="781E69D1"/>
    <w:rsid w:val="783764D9"/>
    <w:rsid w:val="784C0D6B"/>
    <w:rsid w:val="78B01654"/>
    <w:rsid w:val="78CF4963"/>
    <w:rsid w:val="78D863D1"/>
    <w:rsid w:val="79514FB0"/>
    <w:rsid w:val="79737398"/>
    <w:rsid w:val="79D92F12"/>
    <w:rsid w:val="7A263B6B"/>
    <w:rsid w:val="7A2E3B88"/>
    <w:rsid w:val="7A5336BF"/>
    <w:rsid w:val="7A9419C0"/>
    <w:rsid w:val="7AA96EB5"/>
    <w:rsid w:val="7AB52A74"/>
    <w:rsid w:val="7ACD6C80"/>
    <w:rsid w:val="7AEE7C23"/>
    <w:rsid w:val="7AF46346"/>
    <w:rsid w:val="7B0F5EBF"/>
    <w:rsid w:val="7B130FB9"/>
    <w:rsid w:val="7B5B53EA"/>
    <w:rsid w:val="7BB272A4"/>
    <w:rsid w:val="7BF64EDE"/>
    <w:rsid w:val="7C187F35"/>
    <w:rsid w:val="7C400C1E"/>
    <w:rsid w:val="7C5705FC"/>
    <w:rsid w:val="7C680E26"/>
    <w:rsid w:val="7C70264E"/>
    <w:rsid w:val="7CB34922"/>
    <w:rsid w:val="7CDC098B"/>
    <w:rsid w:val="7D425704"/>
    <w:rsid w:val="7DA928D1"/>
    <w:rsid w:val="7DC17351"/>
    <w:rsid w:val="7DD11708"/>
    <w:rsid w:val="7DFB04BA"/>
    <w:rsid w:val="7E2B3D0F"/>
    <w:rsid w:val="7E3B033E"/>
    <w:rsid w:val="7E487708"/>
    <w:rsid w:val="7E6C4E98"/>
    <w:rsid w:val="7E9568C8"/>
    <w:rsid w:val="7EB34C78"/>
    <w:rsid w:val="7EC167BD"/>
    <w:rsid w:val="7ED20D09"/>
    <w:rsid w:val="7F062761"/>
    <w:rsid w:val="7F12689B"/>
    <w:rsid w:val="7F272D9E"/>
    <w:rsid w:val="7F556C75"/>
    <w:rsid w:val="7F9F5B66"/>
    <w:rsid w:val="7FC02E5E"/>
    <w:rsid w:val="7FC25A47"/>
    <w:rsid w:val="7FC43ADB"/>
    <w:rsid w:val="7FD85EAB"/>
    <w:rsid w:val="7FFD4F04"/>
    <w:rsid w:val="BDDF48DE"/>
    <w:rsid w:val="F77B7311"/>
    <w:rsid w:val="FACE8F72"/>
    <w:rsid w:val="FFFF54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3"/>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260" w:beforeLines="0" w:beforeAutospacing="0" w:after="260" w:afterLines="0" w:afterAutospacing="0" w:line="240" w:lineRule="auto"/>
      <w:outlineLvl w:val="2"/>
    </w:pPr>
    <w:rPr>
      <w:rFonts w:ascii="Calibri" w:hAnsi="Calibri" w:eastAsia="宋体"/>
      <w:b/>
      <w:sz w:val="32"/>
    </w:rPr>
  </w:style>
  <w:style w:type="paragraph" w:styleId="6">
    <w:name w:val="heading 4"/>
    <w:basedOn w:val="1"/>
    <w:next w:val="1"/>
    <w:qFormat/>
    <w:uiPriority w:val="0"/>
    <w:pPr>
      <w:keepNext/>
      <w:spacing w:before="240" w:after="60"/>
      <w:outlineLvl w:val="3"/>
    </w:pPr>
    <w:rPr>
      <w:b/>
      <w:bCs/>
      <w:sz w:val="28"/>
      <w:szCs w:val="28"/>
    </w:rPr>
  </w:style>
  <w:style w:type="paragraph" w:styleId="7">
    <w:name w:val="heading 5"/>
    <w:basedOn w:val="1"/>
    <w:next w:val="8"/>
    <w:link w:val="44"/>
    <w:qFormat/>
    <w:uiPriority w:val="9"/>
    <w:pPr>
      <w:keepNext/>
      <w:keepLines/>
      <w:spacing w:before="280" w:after="290" w:line="376" w:lineRule="auto"/>
      <w:outlineLvl w:val="4"/>
    </w:pPr>
    <w:rPr>
      <w:b/>
      <w:bCs/>
      <w:sz w:val="28"/>
      <w:szCs w:val="28"/>
    </w:rPr>
  </w:style>
  <w:style w:type="paragraph" w:styleId="13">
    <w:name w:val="heading 8"/>
    <w:basedOn w:val="1"/>
    <w:next w:val="1"/>
    <w:link w:val="48"/>
    <w:qFormat/>
    <w:uiPriority w:val="9"/>
    <w:pPr>
      <w:keepNext/>
      <w:keepLines/>
      <w:spacing w:before="240" w:after="64" w:line="320" w:lineRule="auto"/>
      <w:outlineLvl w:val="7"/>
    </w:pPr>
    <w:rPr>
      <w:rFonts w:ascii="等线 Light" w:hAnsi="等线 Light" w:eastAsia="等线 Light"/>
      <w:sz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42"/>
    <w:unhideWhenUsed/>
    <w:qFormat/>
    <w:uiPriority w:val="0"/>
    <w:pPr>
      <w:spacing w:after="120"/>
    </w:pPr>
  </w:style>
  <w:style w:type="paragraph" w:styleId="8">
    <w:name w:val="Normal Indent"/>
    <w:basedOn w:val="1"/>
    <w:next w:val="9"/>
    <w:qFormat/>
    <w:uiPriority w:val="0"/>
    <w:pPr>
      <w:ind w:firstLine="420"/>
    </w:pPr>
    <w:rPr>
      <w:szCs w:val="20"/>
    </w:rPr>
  </w:style>
  <w:style w:type="paragraph" w:styleId="9">
    <w:name w:val="annotation subject"/>
    <w:basedOn w:val="10"/>
    <w:next w:val="11"/>
    <w:link w:val="47"/>
    <w:qFormat/>
    <w:uiPriority w:val="99"/>
    <w:rPr>
      <w:b/>
      <w:bCs/>
    </w:rPr>
  </w:style>
  <w:style w:type="paragraph" w:styleId="10">
    <w:name w:val="annotation text"/>
    <w:basedOn w:val="1"/>
    <w:next w:val="11"/>
    <w:link w:val="45"/>
    <w:qFormat/>
    <w:uiPriority w:val="0"/>
    <w:pPr>
      <w:jc w:val="left"/>
    </w:pPr>
  </w:style>
  <w:style w:type="paragraph" w:styleId="11">
    <w:name w:val="Body Text Indent"/>
    <w:basedOn w:val="1"/>
    <w:next w:val="12"/>
    <w:link w:val="46"/>
    <w:qFormat/>
    <w:uiPriority w:val="0"/>
    <w:pPr>
      <w:ind w:firstLine="830" w:firstLineChars="352"/>
    </w:pPr>
    <w:rPr>
      <w:rFonts w:ascii="仿宋_GB2312" w:eastAsia="仿宋_GB2312"/>
      <w:kern w:val="0"/>
      <w:sz w:val="32"/>
      <w:szCs w:val="20"/>
    </w:rPr>
  </w:style>
  <w:style w:type="paragraph" w:styleId="12">
    <w:name w:val="envelope return"/>
    <w:basedOn w:val="1"/>
    <w:qFormat/>
    <w:uiPriority w:val="0"/>
    <w:pPr>
      <w:snapToGrid w:val="0"/>
    </w:pPr>
    <w:rPr>
      <w:rFonts w:ascii="Arial" w:hAnsi="Arial"/>
    </w:rPr>
  </w:style>
  <w:style w:type="paragraph" w:styleId="14">
    <w:name w:val="table of authorities"/>
    <w:basedOn w:val="1"/>
    <w:next w:val="1"/>
    <w:unhideWhenUsed/>
    <w:qFormat/>
    <w:uiPriority w:val="99"/>
    <w:pPr>
      <w:ind w:left="420" w:leftChars="200"/>
    </w:p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Body Text 3"/>
    <w:basedOn w:val="1"/>
    <w:next w:val="8"/>
    <w:link w:val="49"/>
    <w:unhideWhenUsed/>
    <w:qFormat/>
    <w:uiPriority w:val="99"/>
    <w:pPr>
      <w:spacing w:after="120"/>
    </w:pPr>
    <w:rPr>
      <w:sz w:val="16"/>
      <w:szCs w:val="16"/>
    </w:rPr>
  </w:style>
  <w:style w:type="paragraph" w:styleId="18">
    <w:name w:val="List 2"/>
    <w:basedOn w:val="1"/>
    <w:unhideWhenUsed/>
    <w:qFormat/>
    <w:uiPriority w:val="99"/>
    <w:pPr>
      <w:ind w:left="100" w:leftChars="200" w:hanging="200" w:hangingChars="200"/>
      <w:contextualSpacing/>
    </w:pPr>
  </w:style>
  <w:style w:type="paragraph" w:styleId="19">
    <w:name w:val="toc 3"/>
    <w:basedOn w:val="1"/>
    <w:next w:val="1"/>
    <w:unhideWhenUsed/>
    <w:qFormat/>
    <w:uiPriority w:val="39"/>
    <w:pPr>
      <w:ind w:left="840" w:leftChars="400"/>
    </w:pPr>
  </w:style>
  <w:style w:type="paragraph" w:styleId="20">
    <w:name w:val="Plain Text"/>
    <w:basedOn w:val="1"/>
    <w:link w:val="50"/>
    <w:qFormat/>
    <w:uiPriority w:val="0"/>
    <w:rPr>
      <w:rFonts w:ascii="宋体" w:hAnsi="Courier New"/>
      <w:kern w:val="0"/>
      <w:sz w:val="20"/>
      <w:szCs w:val="21"/>
    </w:rPr>
  </w:style>
  <w:style w:type="paragraph" w:styleId="21">
    <w:name w:val="Date"/>
    <w:basedOn w:val="1"/>
    <w:next w:val="1"/>
    <w:link w:val="51"/>
    <w:unhideWhenUsed/>
    <w:qFormat/>
    <w:uiPriority w:val="99"/>
    <w:pPr>
      <w:ind w:left="100" w:leftChars="2500"/>
    </w:pPr>
  </w:style>
  <w:style w:type="paragraph" w:styleId="22">
    <w:name w:val="Body Text Indent 2"/>
    <w:basedOn w:val="1"/>
    <w:qFormat/>
    <w:uiPriority w:val="0"/>
    <w:pPr>
      <w:ind w:firstLine="630"/>
    </w:pPr>
    <w:rPr>
      <w:kern w:val="0"/>
      <w:sz w:val="32"/>
      <w:szCs w:val="20"/>
    </w:rPr>
  </w:style>
  <w:style w:type="paragraph" w:styleId="23">
    <w:name w:val="Balloon Text"/>
    <w:basedOn w:val="1"/>
    <w:semiHidden/>
    <w:qFormat/>
    <w:uiPriority w:val="0"/>
    <w:rPr>
      <w:sz w:val="18"/>
      <w:szCs w:val="18"/>
    </w:rPr>
  </w:style>
  <w:style w:type="paragraph" w:styleId="24">
    <w:name w:val="footer"/>
    <w:basedOn w:val="1"/>
    <w:link w:val="52"/>
    <w:unhideWhenUsed/>
    <w:qFormat/>
    <w:uiPriority w:val="99"/>
    <w:pPr>
      <w:tabs>
        <w:tab w:val="center" w:pos="4153"/>
        <w:tab w:val="right" w:pos="8306"/>
      </w:tabs>
      <w:snapToGrid w:val="0"/>
      <w:jc w:val="left"/>
    </w:pPr>
    <w:rPr>
      <w:kern w:val="0"/>
      <w:sz w:val="18"/>
      <w:szCs w:val="18"/>
    </w:rPr>
  </w:style>
  <w:style w:type="paragraph" w:styleId="25">
    <w:name w:val="header"/>
    <w:basedOn w:val="1"/>
    <w:link w:val="5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6">
    <w:name w:val="toc 1"/>
    <w:basedOn w:val="1"/>
    <w:next w:val="1"/>
    <w:unhideWhenUsed/>
    <w:qFormat/>
    <w:uiPriority w:val="39"/>
  </w:style>
  <w:style w:type="paragraph" w:styleId="2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28">
    <w:name w:val="toc 2"/>
    <w:basedOn w:val="1"/>
    <w:next w:val="1"/>
    <w:unhideWhenUsed/>
    <w:qFormat/>
    <w:uiPriority w:val="39"/>
    <w:pPr>
      <w:tabs>
        <w:tab w:val="right" w:leader="dot" w:pos="8296"/>
      </w:tabs>
      <w:ind w:left="420" w:leftChars="200"/>
    </w:pPr>
  </w:style>
  <w:style w:type="paragraph" w:styleId="29">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30">
    <w:name w:val="Body Text First Indent"/>
    <w:basedOn w:val="2"/>
    <w:next w:val="1"/>
    <w:qFormat/>
    <w:uiPriority w:val="0"/>
    <w:pPr>
      <w:ind w:firstLine="420" w:firstLineChars="100"/>
    </w:pPr>
  </w:style>
  <w:style w:type="paragraph" w:styleId="31">
    <w:name w:val="Body Text First Indent 2"/>
    <w:basedOn w:val="11"/>
    <w:next w:val="8"/>
    <w:qFormat/>
    <w:uiPriority w:val="0"/>
    <w:pPr>
      <w:ind w:leftChars="0" w:firstLine="210"/>
    </w:pPr>
    <w:rPr>
      <w:szCs w:val="20"/>
    </w:rPr>
  </w:style>
  <w:style w:type="table" w:styleId="33">
    <w:name w:val="Table Grid"/>
    <w:basedOn w:val="3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qFormat/>
    <w:uiPriority w:val="22"/>
    <w:rPr>
      <w:b/>
    </w:rPr>
  </w:style>
  <w:style w:type="character" w:styleId="36">
    <w:name w:val="endnote reference"/>
    <w:unhideWhenUsed/>
    <w:qFormat/>
    <w:uiPriority w:val="99"/>
    <w:rPr>
      <w:vertAlign w:val="superscript"/>
    </w:rPr>
  </w:style>
  <w:style w:type="character" w:styleId="37">
    <w:name w:val="page number"/>
    <w:qFormat/>
    <w:uiPriority w:val="0"/>
  </w:style>
  <w:style w:type="character" w:styleId="38">
    <w:name w:val="Hyperlink"/>
    <w:unhideWhenUsed/>
    <w:qFormat/>
    <w:uiPriority w:val="99"/>
    <w:rPr>
      <w:color w:val="0000FF"/>
      <w:u w:val="single"/>
    </w:rPr>
  </w:style>
  <w:style w:type="character" w:styleId="39">
    <w:name w:val="annotation reference"/>
    <w:qFormat/>
    <w:uiPriority w:val="0"/>
    <w:rPr>
      <w:sz w:val="21"/>
      <w:szCs w:val="21"/>
    </w:rPr>
  </w:style>
  <w:style w:type="character" w:styleId="40">
    <w:name w:val="HTML Sample"/>
    <w:unhideWhenUsed/>
    <w:qFormat/>
    <w:uiPriority w:val="99"/>
    <w:rPr>
      <w:rFonts w:ascii="Courier New" w:hAnsi="Courier New"/>
    </w:rPr>
  </w:style>
  <w:style w:type="character" w:customStyle="1" w:styleId="41">
    <w:name w:val="标题 2 Char"/>
    <w:qFormat/>
    <w:uiPriority w:val="9"/>
    <w:rPr>
      <w:rFonts w:ascii="Cambria" w:hAnsi="Cambria" w:eastAsia="宋体" w:cs="Times New Roman"/>
      <w:b/>
      <w:bCs/>
      <w:kern w:val="2"/>
      <w:sz w:val="32"/>
      <w:szCs w:val="32"/>
    </w:rPr>
  </w:style>
  <w:style w:type="character" w:customStyle="1" w:styleId="42">
    <w:name w:val="正文文本 字符"/>
    <w:link w:val="2"/>
    <w:qFormat/>
    <w:uiPriority w:val="0"/>
    <w:rPr>
      <w:rFonts w:ascii="Times New Roman" w:hAnsi="Times New Roman"/>
      <w:kern w:val="2"/>
      <w:sz w:val="21"/>
      <w:szCs w:val="24"/>
    </w:rPr>
  </w:style>
  <w:style w:type="character" w:customStyle="1" w:styleId="43">
    <w:name w:val="标题 2 字符"/>
    <w:link w:val="4"/>
    <w:qFormat/>
    <w:uiPriority w:val="9"/>
    <w:rPr>
      <w:rFonts w:ascii="Cambria" w:hAnsi="Cambria" w:eastAsia="宋体" w:cs="Times New Roman"/>
      <w:b/>
      <w:bCs/>
      <w:kern w:val="2"/>
      <w:sz w:val="32"/>
      <w:szCs w:val="32"/>
    </w:rPr>
  </w:style>
  <w:style w:type="character" w:customStyle="1" w:styleId="44">
    <w:name w:val="标题 5 字符"/>
    <w:link w:val="7"/>
    <w:semiHidden/>
    <w:qFormat/>
    <w:uiPriority w:val="9"/>
    <w:rPr>
      <w:rFonts w:ascii="Times New Roman" w:hAnsi="Times New Roman"/>
      <w:b/>
      <w:bCs/>
      <w:kern w:val="2"/>
      <w:sz w:val="28"/>
      <w:szCs w:val="28"/>
    </w:rPr>
  </w:style>
  <w:style w:type="character" w:customStyle="1" w:styleId="45">
    <w:name w:val="批注文字 字符"/>
    <w:link w:val="10"/>
    <w:qFormat/>
    <w:uiPriority w:val="0"/>
    <w:rPr>
      <w:rFonts w:ascii="Times New Roman" w:hAnsi="Times New Roman"/>
      <w:kern w:val="2"/>
      <w:sz w:val="21"/>
      <w:szCs w:val="24"/>
    </w:rPr>
  </w:style>
  <w:style w:type="character" w:customStyle="1" w:styleId="46">
    <w:name w:val="正文文本缩进 字符"/>
    <w:link w:val="11"/>
    <w:qFormat/>
    <w:uiPriority w:val="0"/>
    <w:rPr>
      <w:rFonts w:ascii="仿宋_GB2312" w:hAnsi="Times New Roman" w:eastAsia="仿宋_GB2312" w:cs="Times New Roman"/>
      <w:sz w:val="32"/>
      <w:szCs w:val="20"/>
    </w:rPr>
  </w:style>
  <w:style w:type="character" w:customStyle="1" w:styleId="47">
    <w:name w:val="批注主题 字符"/>
    <w:link w:val="9"/>
    <w:qFormat/>
    <w:uiPriority w:val="99"/>
    <w:rPr>
      <w:rFonts w:ascii="Times New Roman" w:hAnsi="Times New Roman"/>
      <w:b/>
      <w:bCs/>
      <w:kern w:val="2"/>
      <w:sz w:val="21"/>
      <w:szCs w:val="24"/>
    </w:rPr>
  </w:style>
  <w:style w:type="character" w:customStyle="1" w:styleId="48">
    <w:name w:val="标题 8 字符"/>
    <w:link w:val="13"/>
    <w:semiHidden/>
    <w:qFormat/>
    <w:uiPriority w:val="9"/>
    <w:rPr>
      <w:rFonts w:ascii="等线 Light" w:hAnsi="等线 Light" w:eastAsia="等线 Light" w:cs="Times New Roman"/>
      <w:kern w:val="2"/>
      <w:sz w:val="24"/>
      <w:szCs w:val="24"/>
    </w:rPr>
  </w:style>
  <w:style w:type="character" w:customStyle="1" w:styleId="49">
    <w:name w:val="正文文本 3 字符"/>
    <w:link w:val="17"/>
    <w:semiHidden/>
    <w:qFormat/>
    <w:uiPriority w:val="99"/>
    <w:rPr>
      <w:kern w:val="2"/>
      <w:sz w:val="16"/>
      <w:szCs w:val="16"/>
    </w:rPr>
  </w:style>
  <w:style w:type="character" w:customStyle="1" w:styleId="50">
    <w:name w:val="纯文本 字符"/>
    <w:link w:val="20"/>
    <w:qFormat/>
    <w:uiPriority w:val="0"/>
    <w:rPr>
      <w:rFonts w:ascii="宋体" w:hAnsi="Courier New" w:eastAsia="宋体" w:cs="Courier New"/>
      <w:szCs w:val="21"/>
    </w:rPr>
  </w:style>
  <w:style w:type="character" w:customStyle="1" w:styleId="51">
    <w:name w:val="日期 字符"/>
    <w:link w:val="21"/>
    <w:semiHidden/>
    <w:qFormat/>
    <w:uiPriority w:val="99"/>
    <w:rPr>
      <w:rFonts w:ascii="Times New Roman" w:hAnsi="Times New Roman"/>
      <w:kern w:val="2"/>
      <w:sz w:val="21"/>
      <w:szCs w:val="24"/>
    </w:rPr>
  </w:style>
  <w:style w:type="character" w:customStyle="1" w:styleId="52">
    <w:name w:val="页脚 字符"/>
    <w:link w:val="24"/>
    <w:qFormat/>
    <w:uiPriority w:val="99"/>
    <w:rPr>
      <w:sz w:val="18"/>
      <w:szCs w:val="18"/>
    </w:rPr>
  </w:style>
  <w:style w:type="character" w:customStyle="1" w:styleId="53">
    <w:name w:val="页眉 字符"/>
    <w:link w:val="25"/>
    <w:qFormat/>
    <w:uiPriority w:val="99"/>
    <w:rPr>
      <w:sz w:val="18"/>
      <w:szCs w:val="18"/>
    </w:rPr>
  </w:style>
  <w:style w:type="paragraph" w:customStyle="1" w:styleId="54">
    <w:name w:val="BodyText"/>
    <w:basedOn w:val="1"/>
    <w:next w:val="1"/>
    <w:qFormat/>
    <w:uiPriority w:val="0"/>
    <w:pPr>
      <w:spacing w:line="240" w:lineRule="auto"/>
      <w:jc w:val="both"/>
      <w:textAlignment w:val="baseline"/>
    </w:pPr>
    <w:rPr>
      <w:kern w:val="2"/>
      <w:sz w:val="21"/>
      <w:szCs w:val="21"/>
      <w:lang w:val="en-US" w:eastAsia="zh-CN" w:bidi="ar-SA"/>
    </w:rPr>
  </w:style>
  <w:style w:type="character" w:customStyle="1" w:styleId="55">
    <w:name w:val="纯文本 Char"/>
    <w:qFormat/>
    <w:uiPriority w:val="0"/>
    <w:rPr>
      <w:rFonts w:ascii="宋体" w:hAnsi="Courier New" w:eastAsia="宋体" w:cs="Courier New"/>
      <w:szCs w:val="21"/>
    </w:rPr>
  </w:style>
  <w:style w:type="character" w:customStyle="1" w:styleId="5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7">
    <w:name w:val="apple-style-span"/>
    <w:qFormat/>
    <w:uiPriority w:val="0"/>
  </w:style>
  <w:style w:type="character" w:customStyle="1" w:styleId="58">
    <w:name w:val="纯文本 字符1"/>
    <w:qFormat/>
    <w:uiPriority w:val="0"/>
    <w:rPr>
      <w:rFonts w:ascii="宋体" w:hAnsi="Courier New"/>
    </w:rPr>
  </w:style>
  <w:style w:type="character" w:customStyle="1" w:styleId="59">
    <w:name w:val="标题 8 Char"/>
    <w:qFormat/>
    <w:uiPriority w:val="0"/>
    <w:rPr>
      <w:rFonts w:ascii="Arial" w:hAnsi="Arial" w:eastAsia="黑体"/>
      <w:kern w:val="2"/>
      <w:sz w:val="24"/>
      <w:szCs w:val="24"/>
    </w:rPr>
  </w:style>
  <w:style w:type="character" w:customStyle="1" w:styleId="60">
    <w:name w:val="批注文字 Char"/>
    <w:qFormat/>
    <w:uiPriority w:val="0"/>
    <w:rPr>
      <w:rFonts w:ascii="Times New Roman" w:hAnsi="Times New Roman"/>
      <w:kern w:val="2"/>
      <w:sz w:val="21"/>
      <w:szCs w:val="24"/>
    </w:rPr>
  </w:style>
  <w:style w:type="character" w:customStyle="1" w:styleId="61">
    <w:name w:val="批注文字 字符1"/>
    <w:qFormat/>
    <w:uiPriority w:val="0"/>
    <w:rPr>
      <w:rFonts w:ascii="Times New Roman" w:hAnsi="Times New Roman"/>
      <w:kern w:val="2"/>
      <w:sz w:val="21"/>
      <w:szCs w:val="24"/>
    </w:rPr>
  </w:style>
  <w:style w:type="character" w:customStyle="1" w:styleId="62">
    <w:name w:val="纯文本 字符2"/>
    <w:qFormat/>
    <w:uiPriority w:val="0"/>
    <w:rPr>
      <w:rFonts w:ascii="宋体" w:hAnsi="Courier New" w:eastAsia="宋体" w:cs="Courier New"/>
      <w:szCs w:val="21"/>
    </w:rPr>
  </w:style>
  <w:style w:type="character" w:customStyle="1" w:styleId="63">
    <w:name w:val="正文文本 Char"/>
    <w:qFormat/>
    <w:uiPriority w:val="0"/>
    <w:rPr>
      <w:rFonts w:ascii="Times New Roman" w:hAnsi="Times New Roman"/>
      <w:kern w:val="2"/>
      <w:sz w:val="21"/>
      <w:szCs w:val="24"/>
    </w:rPr>
  </w:style>
  <w:style w:type="character" w:customStyle="1" w:styleId="64">
    <w:name w:val="textcontents"/>
    <w:qFormat/>
    <w:uiPriority w:val="0"/>
  </w:style>
  <w:style w:type="paragraph" w:styleId="65">
    <w:name w:val="List Paragraph"/>
    <w:basedOn w:val="1"/>
    <w:qFormat/>
    <w:uiPriority w:val="34"/>
    <w:pPr>
      <w:ind w:firstLine="420" w:firstLineChars="200"/>
    </w:pPr>
  </w:style>
  <w:style w:type="paragraph" w:customStyle="1" w:styleId="66">
    <w:name w:val="默认段落字体 Para Char Char Char Char Char Char Char Char Char1 Char Char Char Char"/>
    <w:basedOn w:val="1"/>
    <w:qFormat/>
    <w:uiPriority w:val="0"/>
    <w:rPr>
      <w:rFonts w:ascii="Tahoma" w:hAnsi="Tahoma"/>
      <w:sz w:val="24"/>
      <w:szCs w:val="20"/>
    </w:rPr>
  </w:style>
  <w:style w:type="paragraph" w:customStyle="1" w:styleId="6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8">
    <w:name w:val="样式 首行缩进:  2 字符"/>
    <w:basedOn w:val="1"/>
    <w:qFormat/>
    <w:uiPriority w:val="0"/>
    <w:pPr>
      <w:spacing w:line="360" w:lineRule="auto"/>
      <w:ind w:firstLine="560" w:firstLineChars="200"/>
    </w:pPr>
    <w:rPr>
      <w:rFonts w:ascii="宋体" w:hAnsi="宋体" w:eastAsia="仿宋_GB2312" w:cs="宋体"/>
      <w:sz w:val="24"/>
      <w:szCs w:val="20"/>
    </w:rPr>
  </w:style>
  <w:style w:type="character" w:customStyle="1" w:styleId="69">
    <w:name w:val="Font Style50"/>
    <w:qFormat/>
    <w:uiPriority w:val="0"/>
    <w:rPr>
      <w:rFonts w:ascii="宋体" w:eastAsia="宋体"/>
      <w:sz w:val="20"/>
    </w:rPr>
  </w:style>
  <w:style w:type="character" w:customStyle="1" w:styleId="70">
    <w:name w:val="font71"/>
    <w:qFormat/>
    <w:uiPriority w:val="0"/>
    <w:rPr>
      <w:rFonts w:hint="eastAsia" w:ascii="宋体" w:hAnsi="宋体" w:eastAsia="宋体" w:cs="宋体"/>
      <w:color w:val="000000"/>
      <w:sz w:val="20"/>
      <w:szCs w:val="20"/>
      <w:u w:val="none"/>
    </w:rPr>
  </w:style>
  <w:style w:type="paragraph" w:customStyle="1" w:styleId="71">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72">
    <w:name w:val="TOC 标题1"/>
    <w:basedOn w:val="3"/>
    <w:next w:val="1"/>
    <w:qFormat/>
    <w:uiPriority w:val="0"/>
    <w:pPr>
      <w:widowControl/>
      <w:spacing w:before="240" w:line="259" w:lineRule="auto"/>
      <w:jc w:val="left"/>
      <w:outlineLvl w:val="9"/>
    </w:pPr>
    <w:rPr>
      <w:rFonts w:ascii="?? Light" w:hAnsi="?? Light"/>
      <w:b w:val="0"/>
      <w:color w:val="2F5496"/>
      <w:kern w:val="0"/>
      <w:szCs w:val="32"/>
    </w:rPr>
  </w:style>
  <w:style w:type="character" w:customStyle="1" w:styleId="73">
    <w:name w:val="font11"/>
    <w:qFormat/>
    <w:uiPriority w:val="0"/>
    <w:rPr>
      <w:rFonts w:hint="eastAsia" w:ascii="宋体" w:hAnsi="宋体" w:eastAsia="宋体" w:cs="宋体"/>
      <w:color w:val="000000"/>
      <w:sz w:val="20"/>
      <w:szCs w:val="20"/>
      <w:u w:val="none"/>
    </w:rPr>
  </w:style>
  <w:style w:type="character" w:customStyle="1" w:styleId="74">
    <w:name w:val="font31"/>
    <w:qFormat/>
    <w:uiPriority w:val="0"/>
    <w:rPr>
      <w:rFonts w:hint="eastAsia" w:ascii="宋体" w:hAnsi="宋体" w:eastAsia="宋体" w:cs="宋体"/>
      <w:color w:val="FF0000"/>
      <w:sz w:val="20"/>
      <w:szCs w:val="20"/>
      <w:u w:val="none"/>
    </w:rPr>
  </w:style>
  <w:style w:type="paragraph" w:customStyle="1" w:styleId="75">
    <w:name w:val="Default"/>
    <w:qFormat/>
    <w:uiPriority w:val="0"/>
    <w:pPr>
      <w:widowControl w:val="0"/>
      <w:autoSpaceDE w:val="0"/>
      <w:autoSpaceDN w:val="0"/>
    </w:pPr>
    <w:rPr>
      <w:rFonts w:hint="eastAsia" w:ascii="Times New Roman" w:hAnsi="Times New Roman" w:eastAsia="宋体" w:cs="Times New Roman"/>
      <w:color w:val="000000"/>
      <w:sz w:val="24"/>
      <w:lang w:val="en-US" w:eastAsia="zh-CN" w:bidi="ar-SA"/>
    </w:rPr>
  </w:style>
  <w:style w:type="character" w:customStyle="1" w:styleId="76">
    <w:name w:val="font41"/>
    <w:qFormat/>
    <w:uiPriority w:val="0"/>
    <w:rPr>
      <w:rFonts w:hint="eastAsia" w:ascii="宋体" w:hAnsi="宋体" w:eastAsia="宋体" w:cs="宋体"/>
      <w:b/>
      <w:bCs/>
      <w:color w:val="000000"/>
      <w:sz w:val="28"/>
      <w:szCs w:val="28"/>
      <w:u w:val="none"/>
    </w:rPr>
  </w:style>
  <w:style w:type="table" w:customStyle="1" w:styleId="77">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78">
    <w:name w:val="p15"/>
    <w:basedOn w:val="1"/>
    <w:qFormat/>
    <w:uiPriority w:val="0"/>
    <w:pPr>
      <w:widowControl/>
    </w:pPr>
    <w:rPr>
      <w:rFonts w:ascii="宋体" w:hAnsi="宋体" w:cs="宋体"/>
      <w:kern w:val="0"/>
      <w:szCs w:val="21"/>
    </w:rPr>
  </w:style>
  <w:style w:type="paragraph" w:customStyle="1" w:styleId="79">
    <w:name w:val="正文-公1"/>
    <w:basedOn w:val="1"/>
    <w:qFormat/>
    <w:uiPriority w:val="0"/>
    <w:pPr>
      <w:spacing w:line="240" w:lineRule="auto"/>
      <w:ind w:firstLine="200" w:firstLineChars="200"/>
      <w:jc w:val="left"/>
    </w:pPr>
    <w:rPr>
      <w:rFonts w:ascii="Calibri" w:hAnsi="Calibri" w:eastAsia="宋体" w:cs="Times New Roman"/>
      <w:szCs w:val="21"/>
    </w:rPr>
  </w:style>
  <w:style w:type="paragraph" w:customStyle="1" w:styleId="80">
    <w:name w:val="Body text|1"/>
    <w:basedOn w:val="1"/>
    <w:qFormat/>
    <w:uiPriority w:val="0"/>
    <w:pPr>
      <w:spacing w:line="389" w:lineRule="auto"/>
      <w:ind w:firstLine="400"/>
    </w:pPr>
    <w:rPr>
      <w:rFonts w:ascii="宋体" w:hAnsi="宋体" w:eastAsia="宋体" w:cs="宋体"/>
      <w:sz w:val="30"/>
      <w:szCs w:val="30"/>
      <w:lang w:val="zh-TW" w:eastAsia="zh-TW" w:bidi="zh-TW"/>
    </w:rPr>
  </w:style>
  <w:style w:type="paragraph" w:customStyle="1" w:styleId="81">
    <w:name w:val="_Style 2"/>
    <w:next w:val="1"/>
    <w:qFormat/>
    <w:uiPriority w:val="1"/>
    <w:rPr>
      <w:rFonts w:ascii="Times New Roman" w:hAnsi="Times New Roman" w:eastAsia="宋体" w:cs="Times New Roman"/>
      <w:sz w:val="22"/>
      <w:szCs w:val="22"/>
      <w:lang w:val="en-US" w:eastAsia="zh-CN" w:bidi="ar-SA"/>
    </w:rPr>
  </w:style>
  <w:style w:type="character" w:customStyle="1" w:styleId="82">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67</Pages>
  <Words>1217</Words>
  <Characters>1550</Characters>
  <Lines>312</Lines>
  <Paragraphs>88</Paragraphs>
  <TotalTime>32</TotalTime>
  <ScaleCrop>false</ScaleCrop>
  <LinksUpToDate>false</LinksUpToDate>
  <CharactersWithSpaces>1568</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2025-03-11T09:56:00Z</dcterms:created>
  <dc:creator>唐冰</dc:creator>
  <cp:lastModifiedBy>gxxc</cp:lastModifiedBy>
  <cp:lastPrinted>2023-06-27T07:44:00Z</cp:lastPrinted>
  <dcterms:modified xsi:type="dcterms:W3CDTF">2025-04-14T08:40:06Z</dcterms:modified>
  <dc:title>竞争性谈判文件规范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44A95E4CFDA14EC5ADB457DC410445A2_13</vt:lpwstr>
  </property>
  <property fmtid="{D5CDD505-2E9C-101B-9397-08002B2CF9AE}" pid="4" name="KSOTemplateDocerSaveRecord">
    <vt:lpwstr>eyJoZGlkIjoiOTUxOWQ3ZDM4OTFhY2EwMDU2YmM3NDkyZjBhN2M3NjgifQ==</vt:lpwstr>
  </property>
</Properties>
</file>