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color w:val="auto"/>
          <w:sz w:val="52"/>
          <w:szCs w:val="52"/>
          <w:highlight w:val="none"/>
        </w:rPr>
      </w:pPr>
    </w:p>
    <w:p>
      <w:pPr>
        <w:jc w:val="center"/>
        <w:rPr>
          <w:rFonts w:hint="eastAsia" w:ascii="宋体" w:hAnsi="宋体" w:eastAsia="宋体" w:cs="宋体"/>
          <w:color w:val="auto"/>
          <w:sz w:val="52"/>
          <w:szCs w:val="52"/>
          <w:highlight w:val="none"/>
          <w:lang w:eastAsia="zh-CN"/>
        </w:rPr>
      </w:pPr>
      <w:r>
        <w:rPr>
          <w:rFonts w:hint="eastAsia" w:ascii="宋体" w:hAnsi="宋体" w:cs="宋体"/>
          <w:color w:val="auto"/>
          <w:sz w:val="52"/>
          <w:szCs w:val="52"/>
          <w:highlight w:val="none"/>
          <w:lang w:eastAsia="zh-CN"/>
        </w:rPr>
        <w:t>南宁华鑫招标代理有限公司</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spacing w:before="240" w:beforeLines="100" w:after="120" w:afterLines="50"/>
        <w:jc w:val="center"/>
        <w:rPr>
          <w:rFonts w:ascii="宋体" w:hAnsi="宋体" w:cs="宋体"/>
          <w:b/>
          <w:color w:val="auto"/>
          <w:sz w:val="44"/>
          <w:szCs w:val="44"/>
          <w:highlight w:val="none"/>
        </w:rPr>
      </w:pPr>
      <w:r>
        <w:rPr>
          <w:rFonts w:hint="eastAsia" w:ascii="宋体" w:hAnsi="宋体" w:cs="宋体"/>
          <w:color w:val="auto"/>
          <w:spacing w:val="116"/>
          <w:sz w:val="52"/>
          <w:highlight w:val="none"/>
        </w:rPr>
        <w:t xml:space="preserve"> </w:t>
      </w:r>
      <w:bookmarkStart w:id="0" w:name="OLE_LINK2"/>
      <w:r>
        <w:rPr>
          <w:rFonts w:hint="eastAsia" w:ascii="宋体" w:hAnsi="宋体" w:cs="宋体"/>
          <w:b/>
          <w:bCs/>
          <w:color w:val="auto"/>
          <w:spacing w:val="100"/>
          <w:sz w:val="84"/>
          <w:szCs w:val="84"/>
          <w:highlight w:val="none"/>
        </w:rPr>
        <w:t>竞争性磋商文</w:t>
      </w:r>
      <w:r>
        <w:rPr>
          <w:rFonts w:hint="eastAsia" w:ascii="宋体" w:hAnsi="宋体" w:cs="宋体"/>
          <w:b/>
          <w:bCs/>
          <w:color w:val="auto"/>
          <w:sz w:val="84"/>
          <w:szCs w:val="84"/>
          <w:highlight w:val="none"/>
        </w:rPr>
        <w:t>件</w:t>
      </w:r>
      <w:bookmarkEnd w:id="0"/>
    </w:p>
    <w:p>
      <w:pPr>
        <w:spacing w:before="240" w:beforeLines="100" w:after="12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（全流程电子化评标）</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bookmarkStart w:id="1" w:name="OLE_LINK1"/>
      <w:r>
        <w:rPr>
          <w:rFonts w:hint="eastAsia" w:ascii="宋体" w:hAnsi="宋体" w:cs="宋体"/>
          <w:b/>
          <w:bCs/>
          <w:color w:val="auto"/>
          <w:kern w:val="0"/>
          <w:sz w:val="30"/>
          <w:szCs w:val="30"/>
          <w:highlight w:val="none"/>
          <w:lang w:eastAsia="zh-CN"/>
        </w:rPr>
        <w:t>广西森林可持续经营年度验收项目</w:t>
      </w:r>
    </w:p>
    <w:bookmarkEnd w:id="1"/>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GXZC2025-C3-000376-HXZB</w:t>
      </w:r>
    </w:p>
    <w:p>
      <w:pPr>
        <w:jc w:val="center"/>
        <w:rPr>
          <w:rFonts w:ascii="宋体" w:hAnsi="宋体" w:cs="宋体"/>
          <w:b/>
          <w:color w:val="auto"/>
          <w:sz w:val="32"/>
          <w:szCs w:val="32"/>
          <w:highlight w:val="none"/>
        </w:rPr>
      </w:pPr>
    </w:p>
    <w:p>
      <w:pPr>
        <w:jc w:val="center"/>
        <w:rPr>
          <w:color w:val="auto"/>
          <w:highlight w:val="none"/>
        </w:rPr>
      </w:pPr>
    </w:p>
    <w:p>
      <w:pPr>
        <w:jc w:val="center"/>
        <w:rPr>
          <w:rFonts w:ascii="宋体" w:hAnsi="宋体" w:cs="宋体"/>
          <w:b/>
          <w:bCs/>
          <w:color w:val="auto"/>
          <w:kern w:val="0"/>
          <w:sz w:val="30"/>
          <w:szCs w:val="30"/>
          <w:highlight w:val="none"/>
        </w:rPr>
      </w:pPr>
    </w:p>
    <w:p>
      <w:pPr>
        <w:pStyle w:val="22"/>
        <w:jc w:val="center"/>
        <w:rPr>
          <w:color w:val="auto"/>
          <w:highlight w:val="none"/>
        </w:rPr>
      </w:pPr>
    </w:p>
    <w:p>
      <w:pPr>
        <w:pStyle w:val="22"/>
        <w:jc w:val="center"/>
        <w:rPr>
          <w:rFonts w:ascii="宋体" w:hAnsi="宋体" w:cs="宋体"/>
          <w:b/>
          <w:bCs/>
          <w:color w:val="auto"/>
          <w:sz w:val="30"/>
          <w:szCs w:val="30"/>
          <w:highlight w:val="none"/>
        </w:rPr>
      </w:pPr>
    </w:p>
    <w:p>
      <w:pPr>
        <w:jc w:val="center"/>
        <w:rPr>
          <w:color w:val="auto"/>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采购人：</w:t>
      </w:r>
      <w:r>
        <w:rPr>
          <w:rFonts w:hint="eastAsia" w:ascii="宋体" w:hAnsi="宋体" w:cs="宋体"/>
          <w:b/>
          <w:bCs/>
          <w:color w:val="auto"/>
          <w:kern w:val="0"/>
          <w:sz w:val="30"/>
          <w:szCs w:val="30"/>
          <w:highlight w:val="none"/>
          <w:lang w:eastAsia="zh-CN"/>
        </w:rPr>
        <w:t>广西壮族自治区林业局</w:t>
      </w:r>
    </w:p>
    <w:p>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南宁华鑫招标代理有限公司</w:t>
      </w:r>
    </w:p>
    <w:p>
      <w:pPr>
        <w:pStyle w:val="22"/>
        <w:jc w:val="center"/>
        <w:rPr>
          <w:color w:val="auto"/>
          <w:highlight w:val="none"/>
        </w:rPr>
      </w:pPr>
    </w:p>
    <w:p>
      <w:pPr>
        <w:jc w:val="center"/>
        <w:rPr>
          <w:color w:val="auto"/>
          <w:highlight w:val="none"/>
        </w:rPr>
      </w:pPr>
    </w:p>
    <w:p>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rPr>
        <w:t xml:space="preserve"> 2025年</w:t>
      </w:r>
      <w:r>
        <w:rPr>
          <w:rFonts w:hint="eastAsia" w:ascii="宋体" w:hAnsi="宋体" w:cs="宋体"/>
          <w:b/>
          <w:bCs/>
          <w:color w:val="auto"/>
          <w:w w:val="95"/>
          <w:kern w:val="0"/>
          <w:sz w:val="30"/>
          <w:szCs w:val="30"/>
          <w:highlight w:val="none"/>
          <w:lang w:val="en-US" w:eastAsia="zh-CN"/>
        </w:rPr>
        <w:t>3</w:t>
      </w:r>
      <w:r>
        <w:rPr>
          <w:rFonts w:hint="eastAsia" w:ascii="宋体" w:hAnsi="宋体" w:cs="宋体"/>
          <w:b/>
          <w:bCs/>
          <w:color w:val="auto"/>
          <w:w w:val="95"/>
          <w:kern w:val="0"/>
          <w:sz w:val="30"/>
          <w:szCs w:val="30"/>
          <w:highlight w:val="none"/>
          <w:lang w:eastAsia="zh-CN"/>
        </w:rPr>
        <w:t>月</w:t>
      </w:r>
      <w:r>
        <w:rPr>
          <w:rFonts w:hint="eastAsia" w:ascii="宋体" w:hAnsi="宋体" w:cs="宋体"/>
          <w:b/>
          <w:bCs/>
          <w:color w:val="auto"/>
          <w:w w:val="95"/>
          <w:kern w:val="0"/>
          <w:sz w:val="30"/>
          <w:szCs w:val="30"/>
          <w:highlight w:val="none"/>
          <w:lang w:val="en-US" w:eastAsia="zh-CN"/>
        </w:rPr>
        <w:t>14</w:t>
      </w:r>
      <w:r>
        <w:rPr>
          <w:rFonts w:hint="eastAsia" w:ascii="宋体" w:hAnsi="宋体" w:cs="宋体"/>
          <w:b/>
          <w:bCs/>
          <w:color w:val="auto"/>
          <w:w w:val="95"/>
          <w:kern w:val="0"/>
          <w:sz w:val="30"/>
          <w:szCs w:val="30"/>
          <w:highlight w:val="none"/>
          <w:lang w:eastAsia="zh-CN"/>
        </w:rPr>
        <w:t>日</w:t>
      </w:r>
    </w:p>
    <w:p>
      <w:pPr>
        <w:pStyle w:val="14"/>
        <w:ind w:firstLine="803"/>
        <w:jc w:val="center"/>
        <w:rPr>
          <w:rFonts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b/>
          <w:color w:val="auto"/>
          <w:sz w:val="44"/>
          <w:szCs w:val="44"/>
          <w:highlight w:val="none"/>
        </w:rPr>
      </w:pPr>
      <w:r>
        <w:rPr>
          <w:rFonts w:hint="eastAsia"/>
          <w:b/>
          <w:color w:val="auto"/>
          <w:sz w:val="44"/>
          <w:szCs w:val="44"/>
          <w:highlight w:val="none"/>
        </w:rPr>
        <w:t>目   录</w:t>
      </w:r>
    </w:p>
    <w:p>
      <w:pPr>
        <w:spacing w:line="400" w:lineRule="exact"/>
        <w:jc w:val="center"/>
        <w:rPr>
          <w:b/>
          <w:color w:val="auto"/>
          <w:sz w:val="44"/>
          <w:szCs w:val="44"/>
          <w:highlight w:val="none"/>
        </w:rPr>
      </w:pPr>
    </w:p>
    <w:p>
      <w:pPr>
        <w:pStyle w:val="24"/>
        <w:tabs>
          <w:tab w:val="right" w:leader="dot" w:pos="9643"/>
        </w:tabs>
        <w:spacing w:line="480" w:lineRule="auto"/>
        <w:rPr>
          <w:rFonts w:ascii="宋体" w:hAnsi="宋体" w:cs="宋体"/>
          <w:b/>
          <w:bCs/>
          <w:color w:val="auto"/>
          <w:sz w:val="32"/>
          <w:szCs w:val="32"/>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32"/>
          <w:szCs w:val="32"/>
          <w:highlight w:val="none"/>
        </w:rPr>
        <w:t>第一章  竞争性磋</w:t>
      </w:r>
      <w:bookmarkStart w:id="2" w:name="_Hlt135924181"/>
      <w:r>
        <w:rPr>
          <w:rFonts w:hint="eastAsia" w:ascii="宋体" w:hAnsi="宋体" w:cs="宋体"/>
          <w:b/>
          <w:bCs/>
          <w:color w:val="auto"/>
          <w:sz w:val="32"/>
          <w:szCs w:val="32"/>
          <w:highlight w:val="none"/>
        </w:rPr>
        <w:t>商</w:t>
      </w:r>
      <w:bookmarkEnd w:id="2"/>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_Toc32264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"_Toc26836" </w:instrText>
      </w:r>
      <w:r>
        <w:rPr>
          <w:color w:val="auto"/>
          <w:highlight w:val="none"/>
        </w:rPr>
        <w:fldChar w:fldCharType="separate"/>
      </w:r>
      <w:r>
        <w:rPr>
          <w:rFonts w:hint="eastAsia" w:ascii="宋体" w:hAnsi="宋体" w:cs="宋体"/>
          <w:b/>
          <w:bCs/>
          <w:color w:val="auto"/>
          <w:sz w:val="32"/>
          <w:szCs w:val="32"/>
          <w:highlight w:val="none"/>
        </w:rPr>
        <w:t>第二章  采购需</w:t>
      </w:r>
      <w:bookmarkStart w:id="3" w:name="_Hlt137127195"/>
      <w:r>
        <w:rPr>
          <w:rFonts w:hint="eastAsia" w:ascii="宋体" w:hAnsi="宋体" w:cs="宋体"/>
          <w:b/>
          <w:bCs/>
          <w:color w:val="auto"/>
          <w:sz w:val="32"/>
          <w:szCs w:val="32"/>
          <w:highlight w:val="none"/>
        </w:rPr>
        <w:t>求</w:t>
      </w:r>
      <w:bookmarkEnd w:id="3"/>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_Toc26836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"_Toc2072" </w:instrText>
      </w:r>
      <w:r>
        <w:rPr>
          <w:color w:val="auto"/>
          <w:highlight w:val="none"/>
        </w:rPr>
        <w:fldChar w:fldCharType="separate"/>
      </w:r>
      <w:r>
        <w:rPr>
          <w:rFonts w:hint="eastAsia" w:ascii="宋体" w:hAnsi="宋体" w:cs="宋体"/>
          <w:b/>
          <w:bCs/>
          <w:color w:val="auto"/>
          <w:sz w:val="32"/>
          <w:szCs w:val="32"/>
          <w:highlight w:val="none"/>
        </w:rPr>
        <w:t>第三章  供应</w:t>
      </w:r>
      <w:bookmarkStart w:id="4" w:name="_Hlt135905307"/>
      <w:r>
        <w:rPr>
          <w:rFonts w:hint="eastAsia" w:ascii="宋体" w:hAnsi="宋体" w:cs="宋体"/>
          <w:b/>
          <w:bCs/>
          <w:color w:val="auto"/>
          <w:sz w:val="32"/>
          <w:szCs w:val="32"/>
          <w:highlight w:val="none"/>
        </w:rPr>
        <w:t>商</w:t>
      </w:r>
      <w:bookmarkEnd w:id="4"/>
      <w:r>
        <w:rPr>
          <w:rFonts w:hint="eastAsia" w:ascii="宋体" w:hAnsi="宋体" w:cs="宋体"/>
          <w:b/>
          <w:bCs/>
          <w:color w:val="auto"/>
          <w:sz w:val="32"/>
          <w:szCs w:val="32"/>
          <w:highlight w:val="none"/>
        </w:rPr>
        <w:t>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_Toc2072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9</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"_Toc1088" </w:instrText>
      </w:r>
      <w:r>
        <w:rPr>
          <w:color w:val="auto"/>
          <w:highlight w:val="none"/>
        </w:rPr>
        <w:fldChar w:fldCharType="separate"/>
      </w:r>
      <w:r>
        <w:rPr>
          <w:rFonts w:hint="eastAsia" w:ascii="宋体" w:hAnsi="宋体" w:cs="宋体"/>
          <w:b/>
          <w:bCs/>
          <w:color w:val="auto"/>
          <w:sz w:val="32"/>
          <w:szCs w:val="32"/>
          <w:highlight w:val="none"/>
        </w:rPr>
        <w:t>第四章  评审程序、评审方法和评审标准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_Toc1088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27</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hint="eastAsia" w:ascii="宋体" w:hAnsi="宋体" w:cs="宋体"/>
          <w:b/>
          <w:bCs/>
          <w:color w:val="auto"/>
          <w:sz w:val="32"/>
          <w:szCs w:val="32"/>
          <w:highlight w:val="none"/>
        </w:rPr>
        <w:t>第五章  响应文</w:t>
      </w:r>
      <w:bookmarkStart w:id="5" w:name="_Hlt135897174"/>
      <w:bookmarkStart w:id="6" w:name="_Hlt135897173"/>
      <w:r>
        <w:rPr>
          <w:rFonts w:hint="eastAsia" w:ascii="宋体" w:hAnsi="宋体" w:cs="宋体"/>
          <w:b/>
          <w:bCs/>
          <w:color w:val="auto"/>
          <w:sz w:val="32"/>
          <w:szCs w:val="32"/>
          <w:highlight w:val="none"/>
        </w:rPr>
        <w:t>件</w:t>
      </w:r>
      <w:bookmarkEnd w:id="5"/>
      <w:bookmarkEnd w:id="6"/>
      <w:r>
        <w:rPr>
          <w:rFonts w:hint="eastAsia" w:ascii="宋体" w:hAnsi="宋体" w:cs="宋体"/>
          <w:b/>
          <w:bCs/>
          <w:color w:val="auto"/>
          <w:sz w:val="32"/>
          <w:szCs w:val="32"/>
          <w:highlight w:val="none"/>
        </w:rPr>
        <w:t>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_Toc22302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35</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"_Toc18676" </w:instrText>
      </w:r>
      <w:r>
        <w:rPr>
          <w:color w:val="auto"/>
          <w:highlight w:val="none"/>
        </w:rPr>
        <w:fldChar w:fldCharType="separate"/>
      </w:r>
      <w:r>
        <w:rPr>
          <w:rFonts w:hint="eastAsia" w:ascii="宋体" w:hAnsi="宋体" w:cs="宋体"/>
          <w:b/>
          <w:bCs/>
          <w:color w:val="auto"/>
          <w:sz w:val="32"/>
          <w:szCs w:val="32"/>
          <w:highlight w:val="none"/>
        </w:rPr>
        <w:t>第六章  合同</w:t>
      </w:r>
      <w:bookmarkStart w:id="7" w:name="_Hlt135924190"/>
      <w:bookmarkStart w:id="8" w:name="_Hlt137127064"/>
      <w:bookmarkStart w:id="9" w:name="_Hlt137127063"/>
      <w:r>
        <w:rPr>
          <w:rFonts w:hint="eastAsia" w:ascii="宋体" w:hAnsi="宋体" w:cs="宋体"/>
          <w:b/>
          <w:bCs/>
          <w:color w:val="auto"/>
          <w:sz w:val="32"/>
          <w:szCs w:val="32"/>
          <w:highlight w:val="none"/>
        </w:rPr>
        <w:t>文</w:t>
      </w:r>
      <w:bookmarkEnd w:id="7"/>
      <w:bookmarkEnd w:id="8"/>
      <w:bookmarkEnd w:id="9"/>
      <w:bookmarkStart w:id="10" w:name="_Hlt135924167"/>
      <w:bookmarkStart w:id="11" w:name="_Hlt135924166"/>
      <w:r>
        <w:rPr>
          <w:rFonts w:hint="eastAsia" w:ascii="宋体" w:hAnsi="宋体" w:cs="宋体"/>
          <w:b/>
          <w:bCs/>
          <w:color w:val="auto"/>
          <w:sz w:val="32"/>
          <w:szCs w:val="32"/>
          <w:highlight w:val="none"/>
        </w:rPr>
        <w:t>本</w:t>
      </w:r>
      <w:bookmarkEnd w:id="10"/>
      <w:bookmarkEnd w:id="11"/>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4"/>
        <w:tabs>
          <w:tab w:val="right" w:leader="dot" w:pos="9643"/>
        </w:tabs>
        <w:spacing w:line="480" w:lineRule="auto"/>
        <w:rPr>
          <w:b/>
          <w:bCs/>
          <w:color w:val="auto"/>
          <w:sz w:val="32"/>
          <w:szCs w:val="32"/>
          <w:highlight w:val="none"/>
        </w:rPr>
      </w:pPr>
      <w:r>
        <w:rPr>
          <w:color w:val="auto"/>
          <w:highlight w:val="none"/>
        </w:rPr>
        <w:fldChar w:fldCharType="begin"/>
      </w:r>
      <w:r>
        <w:rPr>
          <w:color w:val="auto"/>
          <w:highlight w:val="none"/>
        </w:rPr>
        <w:instrText xml:space="preserve"> HYPERLINK \l "_Toc13011" </w:instrText>
      </w:r>
      <w:r>
        <w:rPr>
          <w:color w:val="auto"/>
          <w:highlight w:val="none"/>
        </w:rPr>
        <w:fldChar w:fldCharType="separate"/>
      </w:r>
      <w:r>
        <w:rPr>
          <w:rFonts w:hint="eastAsia" w:ascii="宋体" w:hAnsi="宋体" w:cs="宋体"/>
          <w:b/>
          <w:bCs/>
          <w:color w:val="auto"/>
          <w:sz w:val="32"/>
          <w:szCs w:val="32"/>
          <w:highlight w:val="none"/>
        </w:rPr>
        <w:t>第七章  质疑、投诉</w:t>
      </w:r>
      <w:bookmarkStart w:id="12" w:name="_Hlt137580638"/>
      <w:bookmarkStart w:id="13" w:name="_Hlt137580637"/>
      <w:r>
        <w:rPr>
          <w:rFonts w:hint="eastAsia" w:ascii="宋体" w:hAnsi="宋体" w:cs="宋体"/>
          <w:b/>
          <w:bCs/>
          <w:color w:val="auto"/>
          <w:sz w:val="32"/>
          <w:szCs w:val="32"/>
          <w:highlight w:val="none"/>
        </w:rPr>
        <w:t>材</w:t>
      </w:r>
      <w:bookmarkEnd w:id="12"/>
      <w:bookmarkEnd w:id="13"/>
      <w:r>
        <w:rPr>
          <w:rFonts w:hint="eastAsia" w:ascii="宋体" w:hAnsi="宋体" w:cs="宋体"/>
          <w:b/>
          <w:bCs/>
          <w:color w:val="auto"/>
          <w:sz w:val="32"/>
          <w:szCs w:val="32"/>
          <w:highlight w:val="none"/>
        </w:rPr>
        <w:t>料格式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_Toc13011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26"/>
        <w:spacing w:line="480" w:lineRule="auto"/>
        <w:rPr>
          <w:b/>
          <w:color w:val="auto"/>
          <w:sz w:val="32"/>
          <w:szCs w:val="32"/>
          <w:highlight w:val="none"/>
        </w:rPr>
      </w:pPr>
      <w:r>
        <w:rPr>
          <w:rFonts w:hint="eastAsia" w:ascii="宋体" w:hAnsi="宋体" w:cs="宋体"/>
          <w:b/>
          <w:bCs/>
          <w:color w:val="auto"/>
          <w:sz w:val="24"/>
          <w:highlight w:val="none"/>
        </w:rPr>
        <w:fldChar w:fldCharType="end"/>
      </w:r>
    </w:p>
    <w:p>
      <w:pPr>
        <w:spacing w:line="400" w:lineRule="exact"/>
        <w:rPr>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bookmarkStart w:id="178" w:name="_GoBack"/>
      <w:bookmarkEnd w:id="178"/>
    </w:p>
    <w:p>
      <w:pPr>
        <w:pStyle w:val="3"/>
        <w:spacing w:before="360" w:after="360" w:line="400" w:lineRule="exact"/>
        <w:jc w:val="center"/>
        <w:rPr>
          <w:rFonts w:ascii="Calibri" w:hAnsi="Calibri"/>
          <w:color w:val="auto"/>
          <w:highlight w:val="none"/>
        </w:rPr>
      </w:pPr>
      <w:bookmarkStart w:id="14" w:name="_Toc27000"/>
      <w:bookmarkStart w:id="15" w:name="_Toc11382"/>
      <w:bookmarkStart w:id="16" w:name="_Toc18838"/>
      <w:bookmarkStart w:id="17" w:name="_Toc11989"/>
      <w:bookmarkStart w:id="18" w:name="_Toc15624"/>
      <w:bookmarkStart w:id="19" w:name="_Toc32264"/>
      <w:bookmarkStart w:id="20" w:name="_Toc80886925"/>
      <w:bookmarkStart w:id="21" w:name="_Toc12242"/>
      <w:bookmarkStart w:id="22" w:name="OLE_LINK4"/>
      <w:r>
        <w:rPr>
          <w:rFonts w:hint="eastAsia" w:ascii="Calibri" w:hAnsi="Calibri"/>
          <w:color w:val="auto"/>
          <w:highlight w:val="none"/>
        </w:rPr>
        <w:t>第一章 竞争性磋商公告</w:t>
      </w:r>
      <w:bookmarkEnd w:id="14"/>
      <w:bookmarkEnd w:id="15"/>
      <w:bookmarkEnd w:id="16"/>
      <w:bookmarkEnd w:id="17"/>
      <w:bookmarkEnd w:id="18"/>
      <w:bookmarkEnd w:id="19"/>
      <w:bookmarkEnd w:id="20"/>
      <w:bookmarkEnd w:id="21"/>
      <w:bookmarkStart w:id="23" w:name="_Toc28359004"/>
      <w:bookmarkStart w:id="24" w:name="_Toc28359089"/>
      <w:bookmarkStart w:id="25" w:name="_Toc28359012"/>
      <w:bookmarkStart w:id="26" w:name="_Toc35393629"/>
      <w:bookmarkStart w:id="27" w:name="_Toc35393792"/>
      <w:bookmarkStart w:id="28" w:name="_Toc44229878"/>
      <w:bookmarkStart w:id="29" w:name="_Toc35393798"/>
      <w:bookmarkStart w:id="30" w:name="_Toc35393623"/>
      <w:bookmarkStart w:id="31" w:name="_Toc28359081"/>
    </w:p>
    <w:bookmarkEnd w:id="22"/>
    <w:p>
      <w:pPr>
        <w:spacing w:line="360" w:lineRule="auto"/>
        <w:jc w:val="center"/>
        <w:rPr>
          <w:b/>
          <w:color w:val="auto"/>
          <w:sz w:val="32"/>
          <w:szCs w:val="32"/>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南宁华鑫招标代理有限公司</w:t>
      </w:r>
      <w:r>
        <w:rPr>
          <w:rFonts w:hint="eastAsia" w:ascii="宋体" w:hAnsi="宋体" w:cs="宋体"/>
          <w:b/>
          <w:color w:val="auto"/>
          <w:sz w:val="36"/>
          <w:szCs w:val="36"/>
          <w:highlight w:val="none"/>
        </w:rPr>
        <w:t>关于</w:t>
      </w:r>
      <w:r>
        <w:rPr>
          <w:rFonts w:hint="eastAsia" w:ascii="宋体" w:hAnsi="宋体" w:cs="宋体"/>
          <w:b/>
          <w:color w:val="auto"/>
          <w:sz w:val="36"/>
          <w:szCs w:val="36"/>
          <w:highlight w:val="none"/>
          <w:lang w:eastAsia="zh-CN"/>
        </w:rPr>
        <w:t>广西森林可持续经营年度验收项目</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GXZC2025-C3-000376-HXZB</w:t>
      </w:r>
      <w:r>
        <w:rPr>
          <w:rFonts w:hint="eastAsia" w:ascii="宋体" w:hAnsi="宋体" w:cs="宋体"/>
          <w:b/>
          <w:color w:val="auto"/>
          <w:sz w:val="36"/>
          <w:szCs w:val="36"/>
          <w:highlight w:val="none"/>
        </w:rPr>
        <w:t>）的竞争性磋商公告</w:t>
      </w:r>
    </w:p>
    <w:p>
      <w:pPr>
        <w:pStyle w:val="22"/>
        <w:rPr>
          <w:color w:val="auto"/>
          <w:highlight w:val="none"/>
        </w:rPr>
      </w:pPr>
    </w:p>
    <w:bookmarkEnd w:id="23"/>
    <w:bookmarkEnd w:id="24"/>
    <w:bookmarkEnd w:id="25"/>
    <w:bookmarkEnd w:id="26"/>
    <w:bookmarkEnd w:id="27"/>
    <w:bookmarkEnd w:id="28"/>
    <w:bookmarkEnd w:id="29"/>
    <w:bookmarkEnd w:id="30"/>
    <w:bookmarkEnd w:id="31"/>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color w:val="auto"/>
                <w:szCs w:val="21"/>
                <w:highlight w:val="none"/>
              </w:rPr>
            </w:pPr>
            <w:r>
              <w:rPr>
                <w:rFonts w:hint="eastAsia"/>
                <w:color w:val="auto"/>
                <w:szCs w:val="21"/>
                <w:highlight w:val="none"/>
              </w:rPr>
              <w:t>项目概况：</w:t>
            </w:r>
          </w:p>
          <w:p>
            <w:pPr>
              <w:spacing w:line="360" w:lineRule="auto"/>
              <w:ind w:firstLine="420" w:firstLineChars="200"/>
              <w:rPr>
                <w:rFonts w:ascii="黑体" w:hAnsi="黑体" w:eastAsia="黑体" w:cs="宋体"/>
                <w:bCs/>
                <w:color w:val="auto"/>
                <w:sz w:val="24"/>
                <w:highlight w:val="none"/>
              </w:rPr>
            </w:pPr>
            <w:r>
              <w:rPr>
                <w:rFonts w:hint="eastAsia" w:ascii="宋体" w:hAnsi="宋体" w:cs="宋体"/>
                <w:color w:val="auto"/>
                <w:szCs w:val="21"/>
                <w:highlight w:val="none"/>
                <w:u w:val="single"/>
                <w:lang w:eastAsia="zh-CN"/>
              </w:rPr>
              <w:t>广西森林可持续经营年度验收项目</w:t>
            </w:r>
            <w:r>
              <w:rPr>
                <w:rFonts w:hint="eastAsia" w:ascii="宋体" w:hAnsi="宋体" w:cs="宋体"/>
                <w:color w:val="auto"/>
                <w:szCs w:val="21"/>
                <w:highlight w:val="none"/>
              </w:rPr>
              <w:t>采购项目的潜在供应商应在广西政府采购云平台（https://www.gcy.zfcg.gxzf.gov.cn/）获取采购文件，并于2025年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0:00（北京时间）前提交响应文件。</w:t>
            </w:r>
          </w:p>
        </w:tc>
      </w:tr>
    </w:tbl>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GXZC2025-C3-000376-HXZB</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广西森林可持续经营年度验收项目</w:t>
      </w:r>
    </w:p>
    <w:p>
      <w:pPr>
        <w:spacing w:line="360" w:lineRule="auto"/>
        <w:ind w:firstLine="421" w:firstLineChars="200"/>
        <w:rPr>
          <w:rFonts w:ascii="宋体" w:hAnsi="宋体"/>
          <w:color w:val="auto"/>
          <w:szCs w:val="21"/>
          <w:highlight w:val="none"/>
        </w:rPr>
      </w:pPr>
      <w:r>
        <w:rPr>
          <w:rFonts w:hint="eastAsia" w:ascii="宋体" w:hAnsi="宋体"/>
          <w:b/>
          <w:bCs/>
          <w:color w:val="auto"/>
          <w:szCs w:val="21"/>
          <w:highlight w:val="none"/>
        </w:rPr>
        <w:t>采购方式：</w:t>
      </w:r>
      <w:r>
        <w:rPr>
          <w:rFonts w:hint="eastAsia" w:ascii="宋体" w:hAnsi="宋体"/>
          <w:color w:val="auto"/>
          <w:szCs w:val="21"/>
          <w:highlight w:val="none"/>
        </w:rPr>
        <w:t>竞争性磋商</w:t>
      </w:r>
    </w:p>
    <w:p>
      <w:pPr>
        <w:spacing w:line="360" w:lineRule="auto"/>
        <w:ind w:firstLine="421"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预算金额（元）</w:t>
      </w:r>
      <w:r>
        <w:rPr>
          <w:rFonts w:hint="eastAsia" w:ascii="宋体" w:hAnsi="宋体"/>
          <w:color w:val="auto"/>
          <w:szCs w:val="21"/>
          <w:highlight w:val="none"/>
        </w:rPr>
        <w:t>：</w:t>
      </w:r>
      <w:r>
        <w:rPr>
          <w:rFonts w:hint="eastAsia" w:ascii="宋体" w:hAnsi="宋体"/>
          <w:color w:val="auto"/>
          <w:szCs w:val="21"/>
          <w:highlight w:val="none"/>
          <w:lang w:eastAsia="zh-CN"/>
        </w:rPr>
        <w:t>1,000,000.00</w:t>
      </w:r>
    </w:p>
    <w:p>
      <w:pPr>
        <w:spacing w:line="360" w:lineRule="auto"/>
        <w:ind w:firstLine="421" w:firstLineChars="200"/>
        <w:rPr>
          <w:rFonts w:ascii="宋体" w:hAnsi="宋体"/>
          <w:b/>
          <w:bCs/>
          <w:color w:val="auto"/>
          <w:szCs w:val="21"/>
          <w:highlight w:val="none"/>
        </w:rPr>
      </w:pPr>
      <w:r>
        <w:rPr>
          <w:rFonts w:hint="eastAsia" w:ascii="宋体" w:hAnsi="宋体"/>
          <w:b/>
          <w:bCs/>
          <w:color w:val="auto"/>
          <w:szCs w:val="21"/>
          <w:highlight w:val="none"/>
        </w:rPr>
        <w:t>采购需求：</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广西森林可持续经营年度验收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1,000,000.00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广西森林可持续经营年度验收</w:t>
      </w:r>
      <w:r>
        <w:rPr>
          <w:rFonts w:hint="eastAsia" w:ascii="宋体" w:hAnsi="宋体"/>
          <w:color w:val="auto"/>
          <w:szCs w:val="21"/>
          <w:highlight w:val="none"/>
        </w:rPr>
        <w:t>1项，详见本</w:t>
      </w:r>
      <w:r>
        <w:rPr>
          <w:rFonts w:hint="eastAsia"/>
          <w:color w:val="auto"/>
          <w:highlight w:val="none"/>
        </w:rPr>
        <w:t>竞争性磋商公告</w:t>
      </w:r>
      <w:r>
        <w:rPr>
          <w:rFonts w:hint="eastAsia" w:ascii="宋体" w:hAnsi="宋体"/>
          <w:color w:val="auto"/>
          <w:szCs w:val="21"/>
          <w:highlight w:val="none"/>
        </w:rPr>
        <w:t>附件采购文件。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签订合同之日起5天内能按采购文件要求提供本项目服务，</w:t>
      </w:r>
      <w:r>
        <w:rPr>
          <w:rFonts w:hint="eastAsia" w:ascii="宋体" w:hAnsi="宋体" w:cs="宋体"/>
          <w:color w:val="auto"/>
          <w:szCs w:val="21"/>
          <w:highlight w:val="none"/>
          <w:lang w:val="en-US" w:eastAsia="zh-CN"/>
        </w:rPr>
        <w:t>2025年12月底前</w:t>
      </w:r>
      <w:r>
        <w:rPr>
          <w:rFonts w:hint="eastAsia" w:ascii="宋体" w:hAnsi="宋体" w:cs="宋体"/>
          <w:color w:val="auto"/>
          <w:szCs w:val="21"/>
          <w:highlight w:val="none"/>
        </w:rPr>
        <w:t>完成验收及提交所有服务内容</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报告。</w:t>
      </w:r>
    </w:p>
    <w:p>
      <w:pPr>
        <w:spacing w:line="360" w:lineRule="auto"/>
        <w:ind w:firstLine="420" w:firstLineChars="200"/>
        <w:rPr>
          <w:rFonts w:ascii="宋体" w:hAnsi="宋体"/>
          <w:color w:val="auto"/>
          <w:szCs w:val="21"/>
          <w:highlight w:val="none"/>
        </w:rPr>
      </w:pPr>
      <w:bookmarkStart w:id="32" w:name="OLE_LINK3"/>
      <w:r>
        <w:rPr>
          <w:rFonts w:hint="eastAsia" w:ascii="宋体" w:hAnsi="宋体"/>
          <w:color w:val="auto"/>
          <w:szCs w:val="21"/>
          <w:highlight w:val="none"/>
        </w:rPr>
        <w:t>本标项</w:t>
      </w:r>
      <w:r>
        <w:rPr>
          <w:rFonts w:ascii="宋体" w:hAnsi="宋体"/>
          <w:color w:val="auto"/>
          <w:szCs w:val="21"/>
          <w:highlight w:val="none"/>
        </w:rPr>
        <w:t>（否）</w:t>
      </w:r>
      <w:r>
        <w:rPr>
          <w:rFonts w:hint="eastAsia" w:ascii="宋体" w:hAnsi="宋体"/>
          <w:color w:val="auto"/>
          <w:szCs w:val="21"/>
          <w:highlight w:val="none"/>
        </w:rPr>
        <w:t>接受联合体竞标。</w:t>
      </w:r>
    </w:p>
    <w:bookmarkEnd w:id="32"/>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pPr>
        <w:spacing w:line="390" w:lineRule="exact"/>
        <w:ind w:firstLine="481" w:firstLineChars="200"/>
        <w:rPr>
          <w:rFonts w:ascii="宋体" w:hAnsi="宋体" w:cs="宋体"/>
          <w:b/>
          <w:bCs/>
          <w:color w:val="auto"/>
          <w:sz w:val="24"/>
          <w:highlight w:val="none"/>
        </w:rPr>
      </w:pPr>
      <w:bookmarkStart w:id="33" w:name="_Toc28359013"/>
      <w:bookmarkStart w:id="34" w:name="_Toc28359090"/>
      <w:bookmarkStart w:id="35" w:name="_Toc44229879"/>
      <w:bookmarkStart w:id="36" w:name="_Toc35393630"/>
      <w:bookmarkStart w:id="37" w:name="_Toc35393799"/>
      <w:r>
        <w:rPr>
          <w:rFonts w:hint="eastAsia" w:ascii="宋体" w:hAnsi="宋体" w:cs="宋体"/>
          <w:b/>
          <w:bCs/>
          <w:color w:val="auto"/>
          <w:sz w:val="24"/>
          <w:highlight w:val="none"/>
        </w:rPr>
        <w:t>二、申请人的资格</w:t>
      </w:r>
      <w:bookmarkEnd w:id="33"/>
      <w:bookmarkEnd w:id="34"/>
      <w:bookmarkEnd w:id="35"/>
      <w:bookmarkEnd w:id="36"/>
      <w:bookmarkEnd w:id="37"/>
      <w:r>
        <w:rPr>
          <w:rFonts w:hint="eastAsia" w:ascii="宋体" w:hAnsi="宋体" w:cs="宋体"/>
          <w:b/>
          <w:bCs/>
          <w:color w:val="auto"/>
          <w:sz w:val="24"/>
          <w:highlight w:val="none"/>
        </w:rPr>
        <w:t>要求</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2.落实政府采购政策需满足的资格要求：专门面向中小企业采购的项目；</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三、获取采购文件</w:t>
      </w:r>
    </w:p>
    <w:p>
      <w:pPr>
        <w:spacing w:line="390" w:lineRule="exact"/>
        <w:ind w:firstLine="420" w:firstLineChars="200"/>
        <w:rPr>
          <w:rFonts w:ascii="宋体" w:hAnsi="宋体" w:cs="宋体"/>
          <w:bCs/>
          <w:color w:val="auto"/>
          <w:kern w:val="0"/>
          <w:szCs w:val="21"/>
          <w:highlight w:val="none"/>
        </w:rPr>
      </w:pPr>
      <w:bookmarkStart w:id="38" w:name="_Toc35393624"/>
      <w:bookmarkStart w:id="39" w:name="_Toc28359005"/>
      <w:bookmarkStart w:id="40" w:name="_Toc35393793"/>
      <w:bookmarkStart w:id="41" w:name="_Toc28359082"/>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至2025年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，每天上午00:00至11:59，下午12:00至23:59（北京时间，法定节假日除外）；</w:t>
      </w:r>
    </w:p>
    <w:p>
      <w:pPr>
        <w:spacing w:line="39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地点（网址）：</w:t>
      </w:r>
      <w:r>
        <w:rPr>
          <w:rFonts w:hint="eastAsia" w:ascii="宋体" w:hAnsi="宋体" w:cs="宋体"/>
          <w:color w:val="auto"/>
          <w:szCs w:val="21"/>
          <w:highlight w:val="none"/>
        </w:rPr>
        <w:t>广西政府采购云平台（https://www.gcy.zfcg.gxzf.gov.cn/）</w:t>
      </w:r>
    </w:p>
    <w:p>
      <w:pPr>
        <w:pStyle w:val="14"/>
        <w:spacing w:line="390" w:lineRule="exact"/>
        <w:rPr>
          <w:rFonts w:ascii="宋体" w:hAnsi="宋体" w:cs="宋体"/>
          <w:b/>
          <w:bCs/>
          <w:color w:val="auto"/>
          <w:sz w:val="24"/>
          <w:highlight w:val="none"/>
        </w:rPr>
      </w:pPr>
      <w:r>
        <w:rPr>
          <w:rFonts w:hint="eastAsia" w:ascii="宋体" w:hAnsi="宋体" w:cs="宋体"/>
          <w:color w:val="auto"/>
          <w:szCs w:val="21"/>
          <w:highlight w:val="none"/>
        </w:rPr>
        <w:t>　　方式：网上下载。本项目不发放纸质文件，潜在供应商可自行登录广西政府采购云平台下载采购文件，电子响应文件制作需要基于广西政府采购云平台获取的采购文件编制。</w:t>
      </w:r>
    </w:p>
    <w:p>
      <w:pPr>
        <w:snapToGrid w:val="0"/>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38"/>
      <w:bookmarkEnd w:id="39"/>
      <w:bookmarkEnd w:id="40"/>
      <w:bookmarkEnd w:id="41"/>
      <w:r>
        <w:rPr>
          <w:rFonts w:hint="eastAsia" w:ascii="宋体" w:hAnsi="宋体" w:cs="宋体"/>
          <w:b/>
          <w:bCs/>
          <w:color w:val="auto"/>
          <w:sz w:val="24"/>
          <w:highlight w:val="none"/>
        </w:rPr>
        <w:t>响应文件提交</w:t>
      </w:r>
    </w:p>
    <w:p>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0:00（北京时间）</w:t>
      </w:r>
    </w:p>
    <w:p>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2、首次响应文件提交地点：广西政府采购云平台（https://www.gcy.zfcg.gxzf.gov.cn/）</w:t>
      </w:r>
    </w:p>
    <w:p>
      <w:pPr>
        <w:spacing w:line="390" w:lineRule="exact"/>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0:00（北京时间）</w:t>
      </w:r>
      <w:r>
        <w:rPr>
          <w:rFonts w:hint="eastAsia" w:ascii="宋体" w:hAnsi="宋体" w:cs="宋体"/>
          <w:color w:val="auto"/>
          <w:szCs w:val="21"/>
          <w:highlight w:val="none"/>
        </w:rPr>
        <w:t>后</w:t>
      </w:r>
    </w:p>
    <w:p>
      <w:pPr>
        <w:spacing w:line="39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pPr>
        <w:spacing w:line="390" w:lineRule="exact"/>
        <w:ind w:firstLine="481" w:firstLineChars="200"/>
        <w:rPr>
          <w:rFonts w:ascii="宋体" w:hAnsi="宋体" w:cs="宋体"/>
          <w:b/>
          <w:bCs/>
          <w:color w:val="auto"/>
          <w:sz w:val="24"/>
          <w:highlight w:val="none"/>
        </w:rPr>
      </w:pPr>
      <w:bookmarkStart w:id="42" w:name="_Toc35393794"/>
      <w:bookmarkStart w:id="43" w:name="_Toc35393625"/>
      <w:bookmarkStart w:id="44" w:name="_Toc28359007"/>
      <w:bookmarkStart w:id="45" w:name="_Toc28359084"/>
      <w:r>
        <w:rPr>
          <w:rFonts w:hint="eastAsia" w:ascii="宋体" w:hAnsi="宋体" w:cs="宋体"/>
          <w:b/>
          <w:bCs/>
          <w:color w:val="auto"/>
          <w:sz w:val="24"/>
          <w:highlight w:val="none"/>
        </w:rPr>
        <w:t>六、公告期限</w:t>
      </w:r>
      <w:bookmarkEnd w:id="42"/>
      <w:bookmarkEnd w:id="43"/>
      <w:bookmarkEnd w:id="44"/>
      <w:bookmarkEnd w:id="45"/>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390" w:lineRule="exact"/>
        <w:ind w:firstLine="481" w:firstLineChars="200"/>
        <w:rPr>
          <w:rFonts w:ascii="宋体" w:hAnsi="宋体" w:cs="宋体"/>
          <w:b/>
          <w:bCs/>
          <w:color w:val="auto"/>
          <w:sz w:val="24"/>
          <w:highlight w:val="none"/>
        </w:rPr>
      </w:pPr>
      <w:bookmarkStart w:id="46" w:name="_Toc35393795"/>
      <w:bookmarkStart w:id="47" w:name="_Toc35393626"/>
      <w:r>
        <w:rPr>
          <w:rFonts w:hint="eastAsia" w:ascii="宋体" w:hAnsi="宋体" w:cs="宋体"/>
          <w:b/>
          <w:bCs/>
          <w:color w:val="auto"/>
          <w:sz w:val="24"/>
          <w:highlight w:val="none"/>
        </w:rPr>
        <w:t>七、其他补充事宜</w:t>
      </w:r>
      <w:bookmarkEnd w:id="46"/>
      <w:bookmarkEnd w:id="47"/>
    </w:p>
    <w:p>
      <w:pPr>
        <w:spacing w:line="390" w:lineRule="exact"/>
        <w:ind w:firstLine="420" w:firstLineChars="200"/>
        <w:rPr>
          <w:rFonts w:ascii="宋体" w:hAnsi="宋体" w:cs="宋体"/>
          <w:color w:val="auto"/>
          <w:kern w:val="0"/>
          <w:szCs w:val="21"/>
          <w:highlight w:val="none"/>
        </w:rPr>
      </w:pPr>
      <w:bookmarkStart w:id="48" w:name="_Hlk37429585"/>
      <w:r>
        <w:rPr>
          <w:rFonts w:hint="eastAsia" w:ascii="宋体" w:hAnsi="宋体" w:cs="宋体"/>
          <w:color w:val="auto"/>
          <w:kern w:val="0"/>
          <w:szCs w:val="21"/>
          <w:highlight w:val="none"/>
        </w:rPr>
        <w:t>1.磋商保证金：</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磋商保证金金额：¥</w:t>
      </w:r>
      <w:r>
        <w:rPr>
          <w:rFonts w:hint="eastAsia" w:ascii="宋体" w:hAnsi="宋体" w:cs="宋体"/>
          <w:color w:val="auto"/>
          <w:kern w:val="0"/>
          <w:szCs w:val="21"/>
          <w:highlight w:val="none"/>
          <w:lang w:eastAsia="zh-CN"/>
        </w:rPr>
        <w:t>10000</w:t>
      </w:r>
      <w:r>
        <w:rPr>
          <w:rFonts w:hint="eastAsia" w:ascii="宋体" w:hAnsi="宋体" w:cs="宋体"/>
          <w:color w:val="auto"/>
          <w:kern w:val="0"/>
          <w:szCs w:val="21"/>
          <w:highlight w:val="none"/>
        </w:rPr>
        <w:t>.00元</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lang w:eastAsia="zh-CN"/>
        </w:rPr>
        <w:t>南宁华鑫招标代理有限公司</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广西北部湾银行股份有限公司营业部</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eastAsia="zh-CN"/>
        </w:rPr>
        <w:t>805331302700001</w:t>
      </w:r>
    </w:p>
    <w:p>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lang w:val="en-US" w:eastAsia="zh-CN"/>
        </w:rPr>
        <w:t>/</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采用支票、汇票、本票或者保函等方式的，在首次响应文件提交截止时间前，供应商必须提交单独密封的支票、汇票、本票或者保函（电子保函除外）等原件给采购代理机构。否则视为无效磋商保证金。</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bookmarkStart w:id="49" w:name="_Hlk37429595"/>
      <w:r>
        <w:rPr>
          <w:rFonts w:hint="eastAsia" w:ascii="宋体" w:hAnsi="宋体" w:cs="宋体"/>
          <w:color w:val="auto"/>
          <w:kern w:val="0"/>
          <w:szCs w:val="21"/>
          <w:highlight w:val="none"/>
        </w:rPr>
        <w:t>网上查询地址</w:t>
      </w:r>
    </w:p>
    <w:bookmarkEnd w:id="48"/>
    <w:bookmarkEnd w:id="49"/>
    <w:p>
      <w:pPr>
        <w:spacing w:line="390" w:lineRule="exact"/>
        <w:ind w:firstLine="420" w:firstLineChars="200"/>
        <w:rPr>
          <w:rFonts w:ascii="宋体" w:hAnsi="宋体" w:cs="宋体"/>
          <w:color w:val="auto"/>
          <w:kern w:val="0"/>
          <w:szCs w:val="21"/>
          <w:highlight w:val="none"/>
        </w:rPr>
      </w:pPr>
      <w:bookmarkStart w:id="50" w:name="_Hlk37429674"/>
      <w:r>
        <w:rPr>
          <w:rFonts w:hint="eastAsia" w:ascii="宋体" w:hAnsi="宋体" w:cs="宋体"/>
          <w:color w:val="auto"/>
          <w:kern w:val="0"/>
          <w:szCs w:val="21"/>
          <w:highlight w:val="none"/>
        </w:rPr>
        <w:t>http://www.ccgp.gov.cn/（中国政府采购网）、http://www.ccgp-guangxi.gov.cn/ (广西政府采购网)。</w:t>
      </w:r>
    </w:p>
    <w:bookmarkEnd w:id="50"/>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本项目需要落实的政府采购政策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90" w:lineRule="exact"/>
        <w:ind w:firstLine="421"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6.在线竞标的有关说明：</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（1）响应文件提交方式：本项目为全流程电子化项目，通过广西政府采购云平台（https://www.gcy.zfcg.gxzf.gov.cn/）实行在线电子响应，</w:t>
      </w:r>
      <w:r>
        <w:rPr>
          <w:rFonts w:hint="eastAsia"/>
          <w:color w:val="auto"/>
          <w:highlight w:val="none"/>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highlight w:val="none"/>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highlight w:val="none"/>
        </w:rPr>
        <w:t>供应商在广西政府采购云平台提交电子版响应文件时，请填写参加远程开标活动经办人联系方式</w:t>
      </w:r>
      <w:r>
        <w:rPr>
          <w:rFonts w:hint="eastAsia" w:ascii="宋体" w:hAnsi="宋体" w:cs="宋体"/>
          <w:color w:val="auto"/>
          <w:kern w:val="0"/>
          <w:szCs w:val="21"/>
          <w:highlight w:val="none"/>
        </w:rPr>
        <w:t>。</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spacing w:line="390" w:lineRule="exact"/>
        <w:ind w:firstLine="421"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（5）供应商需要在具备有摄像头及语音功能且互联网网络状况良好的电脑登录广西政府采购云平台远程开标大厅参与本次磋商，否则后果自负。</w:t>
      </w:r>
    </w:p>
    <w:p>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90" w:lineRule="exact"/>
        <w:ind w:firstLine="481"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名称：广西壮族自治区林业局</w:t>
      </w:r>
    </w:p>
    <w:p>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地址：广西南宁市青秀区云景路21号自治区林业局</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 xml:space="preserve"> 陆新婷</w:t>
      </w:r>
    </w:p>
    <w:p>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val="en-US" w:eastAsia="zh-CN"/>
        </w:rPr>
        <w:t xml:space="preserve"> </w:t>
      </w:r>
      <w:r>
        <w:rPr>
          <w:rFonts w:hint="eastAsia"/>
          <w:color w:val="auto"/>
          <w:highlight w:val="none"/>
          <w:lang w:val="en-US" w:eastAsia="zh-CN"/>
        </w:rPr>
        <w:t>0771-6783361</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南宁华鑫招标代理有限公司</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广西南宁市良庆区龙堤路69号滨江御景b栋2层</w:t>
      </w:r>
    </w:p>
    <w:p>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张晗</w:t>
      </w:r>
    </w:p>
    <w:p>
      <w:pPr>
        <w:spacing w:line="360" w:lineRule="auto"/>
        <w:ind w:firstLine="630" w:firstLineChars="300"/>
        <w:rPr>
          <w:color w:val="auto"/>
          <w:sz w:val="32"/>
          <w:szCs w:val="32"/>
          <w:highlight w:val="none"/>
        </w:rPr>
      </w:pPr>
      <w:r>
        <w:rPr>
          <w:rFonts w:hint="eastAsia" w:ascii="宋体" w:hAnsi="宋体" w:cs="宋体"/>
          <w:color w:val="auto"/>
          <w:kern w:val="0"/>
          <w:szCs w:val="21"/>
          <w:highlight w:val="none"/>
        </w:rPr>
        <w:t>项目联系方式：17600070170/0771-3380218</w:t>
      </w:r>
    </w:p>
    <w:p>
      <w:pPr>
        <w:rPr>
          <w:rFonts w:ascii="Cambria" w:hAnsi="Cambria"/>
          <w:color w:val="auto"/>
          <w:sz w:val="32"/>
          <w:szCs w:val="32"/>
          <w:highlight w:val="none"/>
        </w:rPr>
      </w:pPr>
      <w:bookmarkStart w:id="51" w:name="_Toc22325"/>
      <w:bookmarkStart w:id="52" w:name="_Toc11093"/>
      <w:bookmarkStart w:id="53" w:name="_Toc25520"/>
      <w:bookmarkStart w:id="54" w:name="_Toc26836"/>
      <w:bookmarkStart w:id="55" w:name="_Toc9127"/>
      <w:bookmarkStart w:id="56" w:name="_Toc7184"/>
      <w:bookmarkStart w:id="57" w:name="_Toc80886926"/>
      <w:bookmarkStart w:id="58" w:name="_Toc22760"/>
      <w:r>
        <w:rPr>
          <w:rFonts w:hint="eastAsia" w:ascii="Cambria" w:hAnsi="Cambria"/>
          <w:color w:val="auto"/>
          <w:sz w:val="32"/>
          <w:szCs w:val="32"/>
          <w:highlight w:val="none"/>
        </w:rPr>
        <w:br w:type="page"/>
      </w:r>
    </w:p>
    <w:p>
      <w:pPr>
        <w:pStyle w:val="3"/>
        <w:spacing w:before="100" w:after="90" w:line="240" w:lineRule="auto"/>
        <w:jc w:val="center"/>
        <w:rPr>
          <w:rFonts w:ascii="Cambria" w:hAnsi="Cambria"/>
          <w:bCs w:val="0"/>
          <w:color w:val="auto"/>
          <w:sz w:val="32"/>
          <w:szCs w:val="32"/>
          <w:highlight w:val="none"/>
        </w:rPr>
      </w:pPr>
      <w:bookmarkStart w:id="59" w:name="OLE_LINK6"/>
      <w:r>
        <w:rPr>
          <w:rFonts w:hint="eastAsia" w:ascii="Cambria" w:hAnsi="Cambria"/>
          <w:bCs w:val="0"/>
          <w:color w:val="auto"/>
          <w:sz w:val="32"/>
          <w:szCs w:val="32"/>
          <w:highlight w:val="none"/>
        </w:rPr>
        <w:t>第二章 采购需求</w:t>
      </w:r>
      <w:bookmarkEnd w:id="51"/>
      <w:bookmarkEnd w:id="52"/>
      <w:bookmarkEnd w:id="53"/>
      <w:bookmarkEnd w:id="54"/>
      <w:bookmarkEnd w:id="55"/>
      <w:bookmarkEnd w:id="56"/>
      <w:bookmarkEnd w:id="57"/>
    </w:p>
    <w:bookmarkEnd w:id="58"/>
    <w:bookmarkEnd w:id="59"/>
    <w:p>
      <w:pPr>
        <w:spacing w:line="450" w:lineRule="exact"/>
        <w:jc w:val="left"/>
        <w:rPr>
          <w:rFonts w:cs="宋体"/>
          <w:b/>
          <w:bCs/>
          <w:color w:val="auto"/>
          <w:szCs w:val="21"/>
          <w:highlight w:val="none"/>
        </w:rPr>
      </w:pPr>
      <w:r>
        <w:rPr>
          <w:rFonts w:hint="eastAsia" w:cs="宋体"/>
          <w:b/>
          <w:bCs/>
          <w:color w:val="auto"/>
          <w:szCs w:val="21"/>
          <w:highlight w:val="none"/>
        </w:rPr>
        <w:t>说明：</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 xml:space="preserve">。如本项目包含的配套货物属于品目清单内非标注“★”的产品时，应优先采购，具体详见“第四章 </w:t>
      </w:r>
      <w:r>
        <w:rPr>
          <w:rStyle w:val="38"/>
          <w:rFonts w:hint="eastAsia" w:ascii="宋体" w:hAnsi="宋体" w:cs="宋体"/>
          <w:color w:val="auto"/>
          <w:highlight w:val="none"/>
        </w:rPr>
        <w:t>评审程序、评审方法和评审标准</w:t>
      </w:r>
      <w:r>
        <w:rPr>
          <w:rFonts w:hint="eastAsia" w:ascii="宋体" w:hAnsi="宋体" w:cs="宋体"/>
          <w:color w:val="auto"/>
          <w:szCs w:val="21"/>
          <w:highlight w:val="none"/>
        </w:rPr>
        <w:t>”。</w:t>
      </w:r>
    </w:p>
    <w:p>
      <w:pPr>
        <w:spacing w:line="45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2、“实质性要求”是指磋商文件中已经指明不满足响应文件则按无效响应处理的条款，或者不能负偏离的条款，或者采购需求中带“▲”的条款。</w:t>
      </w:r>
    </w:p>
    <w:p>
      <w:pPr>
        <w:pStyle w:val="14"/>
        <w:spacing w:line="450" w:lineRule="exact"/>
        <w:ind w:firstLine="420" w:firstLineChars="200"/>
        <w:rPr>
          <w:rFonts w:ascii="宋体" w:hAnsi="宋体" w:cs="宋体"/>
          <w:color w:val="auto"/>
          <w:highlight w:val="none"/>
        </w:rPr>
      </w:pPr>
      <w:r>
        <w:rPr>
          <w:rFonts w:hint="eastAsia" w:ascii="宋体" w:hAnsi="宋体" w:cs="宋体"/>
          <w:color w:val="auto"/>
          <w:highlight w:val="none"/>
        </w:rPr>
        <w:t>3、如竞标产品存在侵犯他人的知识产权或者专利成果行为的，应承担相应法律责任。</w:t>
      </w:r>
    </w:p>
    <w:p>
      <w:pPr>
        <w:pStyle w:val="14"/>
        <w:spacing w:line="450" w:lineRule="exact"/>
        <w:ind w:firstLine="420" w:firstLineChars="200"/>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pPr>
        <w:pStyle w:val="14"/>
        <w:spacing w:line="450" w:lineRule="exact"/>
        <w:ind w:firstLine="420" w:firstLineChars="200"/>
        <w:rPr>
          <w:rFonts w:ascii="宋体" w:hAnsi="宋体" w:cs="宋体"/>
          <w:i/>
          <w:iCs/>
          <w:color w:val="auto"/>
          <w:highlight w:val="none"/>
          <w:u w:val="single"/>
        </w:rPr>
      </w:pPr>
      <w:r>
        <w:rPr>
          <w:rFonts w:hint="eastAsia" w:ascii="宋体" w:hAnsi="宋体" w:cs="宋体"/>
          <w:color w:val="auto"/>
          <w:highlight w:val="none"/>
        </w:rPr>
        <w:t>5、采购内容所属行业：</w:t>
      </w:r>
      <w:r>
        <w:rPr>
          <w:rFonts w:hint="eastAsia" w:ascii="宋体" w:hAnsi="宋体" w:cs="宋体"/>
          <w:b/>
          <w:bCs/>
          <w:color w:val="auto"/>
          <w:szCs w:val="21"/>
          <w:highlight w:val="none"/>
          <w:u w:val="single"/>
        </w:rPr>
        <w:t>其他未列明行业。</w:t>
      </w:r>
    </w:p>
    <w:p>
      <w:pPr>
        <w:pStyle w:val="14"/>
        <w:spacing w:line="450" w:lineRule="exact"/>
        <w:ind w:firstLine="420" w:firstLineChars="200"/>
        <w:rPr>
          <w:rFonts w:ascii="宋体" w:hAnsi="宋体" w:cs="宋体"/>
          <w:i/>
          <w:iCs/>
          <w:color w:val="auto"/>
          <w:highlight w:val="none"/>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auto"/>
                <w:szCs w:val="21"/>
                <w:highlight w:val="none"/>
              </w:rPr>
            </w:pPr>
            <w:r>
              <w:rPr>
                <w:rFonts w:hint="eastAsia" w:ascii="宋体" w:hAnsi="宋体" w:cs="宋体"/>
                <w:b/>
                <w:bCs/>
                <w:color w:val="auto"/>
                <w:szCs w:val="21"/>
                <w:highlight w:val="none"/>
              </w:rPr>
              <w:t>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pPr>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需求一览表</w:t>
            </w:r>
          </w:p>
        </w:tc>
        <w:tc>
          <w:tcPr>
            <w:tcW w:w="596"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36"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44"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551" w:type="dxa"/>
            <w:tcBorders>
              <w:top w:val="single" w:color="auto" w:sz="4" w:space="0"/>
            </w:tcBorders>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pPr>
              <w:spacing w:line="380" w:lineRule="exact"/>
              <w:jc w:val="center"/>
              <w:rPr>
                <w:rFonts w:ascii="宋体" w:hAnsi="宋体" w:cs="宋体"/>
                <w:color w:val="auto"/>
                <w:szCs w:val="21"/>
                <w:highlight w:val="none"/>
              </w:rPr>
            </w:pPr>
          </w:p>
        </w:tc>
        <w:tc>
          <w:tcPr>
            <w:tcW w:w="596" w:type="dxa"/>
            <w:vAlign w:val="center"/>
          </w:tcPr>
          <w:p>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6" w:type="dxa"/>
            <w:vAlign w:val="center"/>
          </w:tcPr>
          <w:p>
            <w:pPr>
              <w:snapToGrid w:val="0"/>
              <w:jc w:val="center"/>
              <w:outlineLvl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广西森林可持续经营年度验收</w:t>
            </w:r>
          </w:p>
        </w:tc>
        <w:tc>
          <w:tcPr>
            <w:tcW w:w="944" w:type="dxa"/>
            <w:vAlign w:val="center"/>
          </w:tcPr>
          <w:p>
            <w:pPr>
              <w:snapToGrid w:val="0"/>
              <w:jc w:val="center"/>
              <w:outlineLvl w:val="0"/>
              <w:rPr>
                <w:rFonts w:ascii="宋体" w:hAnsi="宋体" w:cs="宋体"/>
                <w:color w:val="auto"/>
                <w:szCs w:val="21"/>
                <w:highlight w:val="none"/>
              </w:rPr>
            </w:pPr>
            <w:r>
              <w:rPr>
                <w:rFonts w:hint="eastAsia" w:ascii="宋体" w:hAnsi="宋体" w:cs="宋体"/>
                <w:color w:val="auto"/>
                <w:szCs w:val="21"/>
                <w:highlight w:val="none"/>
              </w:rPr>
              <w:t>1项</w:t>
            </w:r>
          </w:p>
        </w:tc>
        <w:tc>
          <w:tcPr>
            <w:tcW w:w="6551" w:type="dxa"/>
            <w:vAlign w:val="center"/>
          </w:tcPr>
          <w:p>
            <w:pPr>
              <w:spacing w:line="40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一、项目内容：</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color w:val="auto"/>
                <w:highlight w:val="none"/>
              </w:rPr>
              <w:t>1</w:t>
            </w:r>
            <w:r>
              <w:rPr>
                <w:rFonts w:hint="eastAsia" w:ascii="宋体" w:hAnsi="宋体" w:eastAsia="宋体" w:cs="宋体"/>
                <w:color w:val="auto"/>
                <w:kern w:val="2"/>
                <w:sz w:val="21"/>
                <w:szCs w:val="24"/>
                <w:highlight w:val="none"/>
                <w:lang w:val="en-US" w:eastAsia="zh-CN" w:bidi="ar-SA"/>
              </w:rPr>
              <w:t>.组建专家团队，指导森林可持续经营方案与作业设计编制；</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2.组织专业技术力量审查修正试点任务落地上图，含边界线修正、属性因子间的逻辑关系等；</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3.编制成效监测调查技术指南、编制年度任务成效监测布设方案、管理成效样地监测数据； </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4.根据试点设计内容和广西实际情况，提出可突破现行技术规程中有关于抚育强度和抚育间隔期等限制指标；</w:t>
            </w:r>
          </w:p>
          <w:p>
            <w:pPr>
              <w:pStyle w:val="22"/>
              <w:spacing w:line="400" w:lineRule="exac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5.按要求开展年度验收核查工作；</w:t>
            </w:r>
          </w:p>
          <w:p>
            <w:pPr>
              <w:pStyle w:val="22"/>
              <w:spacing w:line="400" w:lineRule="exact"/>
              <w:rPr>
                <w:color w:val="auto"/>
                <w:highlight w:val="none"/>
              </w:rPr>
            </w:pPr>
            <w:r>
              <w:rPr>
                <w:rFonts w:hint="eastAsia" w:ascii="宋体" w:hAnsi="宋体" w:eastAsia="宋体" w:cs="宋体"/>
                <w:color w:val="auto"/>
                <w:kern w:val="2"/>
                <w:sz w:val="21"/>
                <w:szCs w:val="24"/>
                <w:highlight w:val="none"/>
                <w:lang w:val="en-US" w:eastAsia="zh-CN" w:bidi="ar-SA"/>
              </w:rPr>
              <w:t>6.汇总2023-2025年森林可持续经营试点模式，凝炼示范样板。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pPr>
              <w:pStyle w:val="22"/>
              <w:spacing w:line="360" w:lineRule="exact"/>
              <w:jc w:val="center"/>
              <w:rPr>
                <w:rFonts w:ascii="宋体" w:hAnsi="宋体" w:cs="宋体"/>
                <w:color w:val="auto"/>
                <w:szCs w:val="21"/>
                <w:highlight w:val="none"/>
              </w:rPr>
            </w:pPr>
            <w:r>
              <w:rPr>
                <w:rFonts w:hint="eastAsia" w:ascii="宋体" w:hAnsi="宋体" w:cs="宋体"/>
                <w:b/>
                <w:bCs/>
                <w:color w:val="auto"/>
                <w:sz w:val="21"/>
                <w:szCs w:val="21"/>
                <w:highlight w:val="none"/>
              </w:rPr>
              <w:t>商务条款</w:t>
            </w:r>
          </w:p>
        </w:tc>
        <w:tc>
          <w:tcPr>
            <w:tcW w:w="9227" w:type="dxa"/>
            <w:gridSpan w:val="4"/>
            <w:vAlign w:val="center"/>
          </w:tcPr>
          <w:p>
            <w:pPr>
              <w:widowControl/>
              <w:rPr>
                <w:rFonts w:ascii="宋体" w:hAnsi="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付款方式：</w:t>
            </w:r>
          </w:p>
          <w:p>
            <w:pPr>
              <w:widowControl/>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签订合同后</w:t>
            </w:r>
            <w:r>
              <w:rPr>
                <w:rFonts w:hint="eastAsia"/>
                <w:color w:val="auto"/>
                <w:highlight w:val="none"/>
                <w:lang w:val="en-US" w:eastAsia="zh-CN"/>
              </w:rPr>
              <w:t>1</w:t>
            </w:r>
            <w:r>
              <w:rPr>
                <w:rFonts w:hint="eastAsia" w:ascii="宋体" w:hAnsi="宋体" w:cs="宋体"/>
                <w:color w:val="auto"/>
                <w:szCs w:val="21"/>
                <w:highlight w:val="none"/>
                <w:lang w:val="en-US" w:eastAsia="zh-CN"/>
              </w:rPr>
              <w:t>0个工作日内，采购人向成交供应商</w:t>
            </w:r>
            <w:r>
              <w:rPr>
                <w:rFonts w:hint="eastAsia" w:ascii="宋体" w:hAnsi="宋体" w:cs="宋体"/>
                <w:color w:val="auto"/>
                <w:szCs w:val="21"/>
                <w:highlight w:val="none"/>
              </w:rPr>
              <w:t>支付合同价款的50%</w:t>
            </w:r>
            <w:r>
              <w:rPr>
                <w:rFonts w:hint="eastAsia" w:ascii="宋体" w:hAnsi="宋体" w:cs="宋体"/>
                <w:color w:val="auto"/>
                <w:szCs w:val="21"/>
                <w:highlight w:val="none"/>
                <w:lang w:eastAsia="zh-CN"/>
              </w:rPr>
              <w:t>；</w:t>
            </w:r>
          </w:p>
          <w:p>
            <w:pPr>
              <w:widowControl/>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2.2025年8月底前成交供应商</w:t>
            </w:r>
            <w:r>
              <w:rPr>
                <w:rFonts w:hint="eastAsia" w:ascii="宋体" w:hAnsi="宋体" w:cs="宋体"/>
                <w:color w:val="auto"/>
                <w:szCs w:val="21"/>
                <w:highlight w:val="none"/>
              </w:rPr>
              <w:t>提交成效监测调查技术指南和年度任务成效监测布设方案编制</w:t>
            </w:r>
            <w:r>
              <w:rPr>
                <w:rFonts w:hint="eastAsia" w:ascii="宋体" w:hAnsi="宋体" w:cs="宋体"/>
                <w:color w:val="auto"/>
                <w:szCs w:val="21"/>
                <w:highlight w:val="none"/>
                <w:lang w:eastAsia="zh-CN"/>
              </w:rPr>
              <w:t>后，</w:t>
            </w:r>
            <w:r>
              <w:rPr>
                <w:rFonts w:hint="eastAsia" w:ascii="宋体" w:hAnsi="宋体" w:cs="宋体"/>
                <w:color w:val="auto"/>
                <w:szCs w:val="21"/>
                <w:highlight w:val="none"/>
                <w:lang w:val="en-US" w:eastAsia="zh-CN"/>
              </w:rPr>
              <w:t>采购人向成交供应商</w:t>
            </w:r>
            <w:r>
              <w:rPr>
                <w:rFonts w:hint="eastAsia" w:ascii="宋体" w:hAnsi="宋体" w:cs="宋体"/>
                <w:color w:val="auto"/>
                <w:szCs w:val="21"/>
                <w:highlight w:val="none"/>
              </w:rPr>
              <w:t>支付合同价款项的30%</w:t>
            </w:r>
            <w:r>
              <w:rPr>
                <w:rFonts w:hint="eastAsia" w:ascii="宋体" w:hAnsi="宋体" w:cs="宋体"/>
                <w:color w:val="auto"/>
                <w:szCs w:val="21"/>
                <w:highlight w:val="none"/>
                <w:lang w:eastAsia="zh-CN"/>
              </w:rPr>
              <w:t>；</w:t>
            </w:r>
          </w:p>
          <w:p>
            <w:pPr>
              <w:widowControl/>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3.2025年12月底前成交供应商</w:t>
            </w:r>
            <w:r>
              <w:rPr>
                <w:rFonts w:hint="eastAsia" w:ascii="宋体" w:hAnsi="宋体" w:cs="宋体"/>
                <w:color w:val="auto"/>
                <w:szCs w:val="21"/>
                <w:highlight w:val="none"/>
              </w:rPr>
              <w:t>完成验收及提交</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，通过采购人验收</w:t>
            </w:r>
            <w:r>
              <w:rPr>
                <w:rFonts w:hint="eastAsia" w:ascii="宋体" w:hAnsi="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采购人向成交供应商</w:t>
            </w:r>
            <w:r>
              <w:rPr>
                <w:rFonts w:hint="eastAsia" w:ascii="宋体" w:hAnsi="宋体" w:cs="宋体"/>
                <w:color w:val="auto"/>
                <w:szCs w:val="21"/>
                <w:highlight w:val="none"/>
              </w:rPr>
              <w:t>支付合同款项的20%</w:t>
            </w:r>
            <w:r>
              <w:rPr>
                <w:rFonts w:hint="eastAsia" w:ascii="宋体" w:hAnsi="宋体" w:cs="宋体"/>
                <w:color w:val="auto"/>
                <w:szCs w:val="21"/>
                <w:highlight w:val="none"/>
                <w:lang w:val="en-US" w:eastAsia="zh-CN"/>
              </w:rPr>
              <w:t xml:space="preserve"> </w:t>
            </w:r>
          </w:p>
          <w:p>
            <w:pPr>
              <w:spacing w:line="240" w:lineRule="auto"/>
              <w:ind w:firstLine="0" w:firstLineChars="0"/>
              <w:rPr>
                <w:rFonts w:hint="eastAsia" w:ascii="宋体" w:hAnsi="宋体" w:cs="宋体"/>
                <w:b/>
                <w:color w:val="auto"/>
                <w:szCs w:val="21"/>
                <w:highlight w:val="none"/>
              </w:rPr>
            </w:pPr>
            <w:r>
              <w:rPr>
                <w:rFonts w:hint="eastAsia"/>
                <w:color w:val="auto"/>
                <w:highlight w:val="none"/>
                <w:lang w:val="en-US" w:eastAsia="zh-CN"/>
              </w:rPr>
              <w:t>4.</w:t>
            </w:r>
            <w:r>
              <w:rPr>
                <w:rFonts w:hint="eastAsia" w:ascii="宋体" w:hAnsi="宋体" w:cs="宋体"/>
                <w:color w:val="auto"/>
                <w:szCs w:val="21"/>
                <w:highlight w:val="none"/>
              </w:rPr>
              <w:t>每支付一笔款项前，成交供应商必须提供相应数额的合格发票、请款函、进度证明材料等。</w:t>
            </w:r>
            <w:r>
              <w:rPr>
                <w:rFonts w:hint="eastAsia" w:ascii="宋体" w:hAnsi="宋体" w:cs="Calibri"/>
                <w:color w:val="auto"/>
                <w:szCs w:val="21"/>
                <w:highlight w:val="none"/>
                <w:lang w:eastAsia="zh-CN"/>
              </w:rPr>
              <w:t>成交</w:t>
            </w:r>
            <w:r>
              <w:rPr>
                <w:rFonts w:hint="eastAsia" w:ascii="宋体" w:hAnsi="宋体" w:cs="Calibri"/>
                <w:color w:val="auto"/>
                <w:szCs w:val="21"/>
                <w:highlight w:val="none"/>
              </w:rPr>
              <w:t>供应商未及时向采购人开具发票的，采购人有权顺延付款时间，且不承担任何逾期付款违约责任。</w:t>
            </w:r>
          </w:p>
          <w:p>
            <w:pPr>
              <w:pStyle w:val="22"/>
              <w:rPr>
                <w:rFonts w:hint="default" w:eastAsia="宋体"/>
                <w:color w:val="auto"/>
                <w:highlight w:val="none"/>
                <w:lang w:val="en-US" w:eastAsia="zh-CN"/>
              </w:rPr>
            </w:pPr>
          </w:p>
        </w:tc>
      </w:tr>
    </w:tbl>
    <w:p>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ind w:left="119"/>
        <w:rPr>
          <w:rFonts w:ascii="宋体" w:hAnsi="宋体" w:cs="宋体"/>
          <w:color w:val="auto"/>
          <w:sz w:val="32"/>
          <w:szCs w:val="32"/>
          <w:highlight w:val="none"/>
        </w:rPr>
      </w:pPr>
      <w:bookmarkStart w:id="60" w:name="_Toc3319"/>
      <w:bookmarkStart w:id="61" w:name="_Toc80886927"/>
      <w:r>
        <w:rPr>
          <w:rFonts w:hint="eastAsia" w:ascii="宋体" w:hAnsi="宋体" w:cs="宋体"/>
          <w:color w:val="auto"/>
          <w:sz w:val="32"/>
          <w:szCs w:val="32"/>
          <w:highlight w:val="none"/>
        </w:rPr>
        <w:t>附件1：</w:t>
      </w:r>
    </w:p>
    <w:p>
      <w:pPr>
        <w:widowControl/>
        <w:jc w:val="center"/>
        <w:rPr>
          <w:rFonts w:ascii="宋体" w:hAnsi="宋体" w:cs="宋体"/>
          <w:b/>
          <w:bCs/>
          <w:color w:val="auto"/>
          <w:kern w:val="0"/>
          <w:sz w:val="30"/>
          <w:szCs w:val="30"/>
          <w:highlight w:val="none"/>
        </w:rPr>
      </w:pPr>
      <w:bookmarkStart w:id="62" w:name="_Toc28361_WPSOffice_Level2"/>
      <w:r>
        <w:rPr>
          <w:rFonts w:hint="eastAsia" w:ascii="宋体" w:hAnsi="宋体" w:cs="宋体"/>
          <w:b/>
          <w:bCs/>
          <w:color w:val="auto"/>
          <w:kern w:val="0"/>
          <w:sz w:val="30"/>
          <w:szCs w:val="30"/>
          <w:highlight w:val="none"/>
        </w:rPr>
        <w:t>统计上大中小微型企业划分标准</w:t>
      </w:r>
      <w:bookmarkEnd w:id="62"/>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highlight w:val="none"/>
              </w:rPr>
            </w:pPr>
            <w:r>
              <w:rPr>
                <w:rFonts w:hint="eastAsia"/>
                <w:color w:val="auto"/>
                <w:sz w:val="18"/>
                <w:szCs w:val="21"/>
                <w:highlight w:val="none"/>
              </w:rPr>
              <w:t>农、林、牧、渔业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工业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建筑业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批发业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零售业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交通运输业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仓储业*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邮政业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住宿业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餐饮业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信息传输业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物业管理</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highlight w:val="none"/>
              </w:rPr>
            </w:pP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420" w:firstLineChars="200"/>
        <w:rPr>
          <w:rFonts w:ascii="宋体" w:hAnsi="宋体" w:cs="宋体"/>
          <w:color w:val="auto"/>
          <w:kern w:val="0"/>
          <w:sz w:val="24"/>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spacing w:line="480" w:lineRule="auto"/>
        <w:jc w:val="center"/>
        <w:rPr>
          <w:rFonts w:ascii="Calibri" w:hAnsi="Calibri"/>
          <w:color w:val="auto"/>
          <w:highlight w:val="none"/>
        </w:rPr>
      </w:pPr>
      <w:bookmarkStart w:id="63" w:name="_Toc2072"/>
      <w:bookmarkStart w:id="64" w:name="_Toc7704"/>
      <w:bookmarkStart w:id="65" w:name="_Toc13614"/>
      <w:bookmarkStart w:id="66" w:name="_Toc9239"/>
      <w:bookmarkStart w:id="67" w:name="_Toc24174"/>
      <w:bookmarkStart w:id="68" w:name="_Toc19152"/>
      <w:r>
        <w:rPr>
          <w:rFonts w:hint="eastAsia" w:ascii="Cambria" w:hAnsi="Cambria"/>
          <w:bCs w:val="0"/>
          <w:color w:val="auto"/>
          <w:sz w:val="32"/>
          <w:szCs w:val="32"/>
          <w:highlight w:val="none"/>
        </w:rPr>
        <w:t>第三章 供应商须知</w:t>
      </w:r>
      <w:bookmarkEnd w:id="60"/>
      <w:bookmarkEnd w:id="61"/>
      <w:bookmarkEnd w:id="63"/>
      <w:bookmarkEnd w:id="64"/>
      <w:bookmarkEnd w:id="65"/>
      <w:bookmarkEnd w:id="66"/>
      <w:bookmarkEnd w:id="67"/>
      <w:bookmarkEnd w:id="68"/>
    </w:p>
    <w:p>
      <w:pPr>
        <w:pStyle w:val="4"/>
        <w:jc w:val="center"/>
        <w:rPr>
          <w:rFonts w:ascii="宋体" w:hAnsi="宋体"/>
          <w:b w:val="0"/>
          <w:color w:val="auto"/>
          <w:highlight w:val="none"/>
        </w:rPr>
      </w:pPr>
      <w:bookmarkStart w:id="69" w:name="_Toc30660"/>
      <w:bookmarkStart w:id="70" w:name="_Toc9482"/>
      <w:bookmarkStart w:id="71" w:name="_Toc80886928"/>
      <w:r>
        <w:rPr>
          <w:rFonts w:hint="eastAsia" w:ascii="宋体" w:hAnsi="宋体"/>
          <w:b w:val="0"/>
          <w:color w:val="auto"/>
          <w:highlight w:val="none"/>
        </w:rPr>
        <w:t>第一节 供应商须知前附表</w:t>
      </w:r>
      <w:bookmarkEnd w:id="69"/>
      <w:bookmarkEnd w:id="70"/>
      <w:bookmarkEnd w:id="71"/>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9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416"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41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416" w:type="dxa"/>
            <w:vAlign w:val="center"/>
          </w:tcPr>
          <w:p>
            <w:pPr>
              <w:spacing w:line="360" w:lineRule="auto"/>
              <w:rPr>
                <w:rFonts w:ascii="宋体" w:hAnsi="宋体" w:cs="宋体"/>
                <w:color w:val="auto"/>
                <w:szCs w:val="21"/>
                <w:highlight w:val="none"/>
              </w:rPr>
            </w:pPr>
            <w:bookmarkStart w:id="72" w:name="PO_3000001868_PM007"/>
            <w:r>
              <w:rPr>
                <w:rFonts w:hint="eastAsia" w:ascii="宋体" w:hAnsi="宋体" w:cs="宋体"/>
                <w:color w:val="auto"/>
                <w:szCs w:val="21"/>
                <w:highlight w:val="none"/>
              </w:rPr>
              <w:t>详见竞争性磋商公告</w:t>
            </w:r>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2.供应商依法缴纳税收的相关材料（提供税款所属时期为2024年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首次响应文件提交截止时间止的任意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3.供应商依法缴纳社会保障资金的相关材料（提供税款所属时期或缴费起始时间为2024年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首次响应文件提交截止时间止的任意3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4.供应商财务状况报告（提供2023年度财务报告复印件或者截标时间前半年内至少一个月能反映财务状况的报表或者供应商自拟的截标时间前半年内至少一个月的财务情况说明）；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10.除竞争性磋商文件规定必须提供以外，供应商认为需要提供的其他证明材料（格式自拟）。（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　　1.以上标明“必须提供”的材料属于复印件的扫描件的，必须加盖供应商公章，否则响应文件按无效响应处理。</w:t>
            </w:r>
          </w:p>
          <w:p>
            <w:pPr>
              <w:pStyle w:val="14"/>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2.联合体竞标时，第1-4项资格证明文件联合体各方均必须分别提供，联合体各方分别盖章，否则响应文件按无效响应处理。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6.供应商情况介绍（格式自拟）；（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7.对应采购需求的商务条款提供的其他文件资料（格式自拟）；（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2.服务方案（格式自拟）；（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highlight w:val="none"/>
              </w:rPr>
              <w:t>3.</w:t>
            </w:r>
            <w:r>
              <w:rPr>
                <w:rFonts w:hint="eastAsia" w:ascii="宋体" w:hAnsi="宋体" w:cs="宋体"/>
                <w:color w:val="auto"/>
                <w:szCs w:val="21"/>
                <w:highlight w:val="none"/>
              </w:rPr>
              <w:t>项目质量保障措施（格式自拟）</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4.项目实施人员一览表（格式后附）；（</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416"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（必须提供，否则响应文件按无效响应处理）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3.供应商针对报价需要说明的其他文件和说明（格式自拟）。（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1.响应文件电子版要求：按照本竞争性磋商文件“第五章 响应文件格式”编写，第五章未附格式的，由供应商自行拟定。</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416" w:type="dxa"/>
            <w:vAlign w:val="center"/>
          </w:tcPr>
          <w:p>
            <w:pPr>
              <w:snapToGrid w:val="0"/>
              <w:spacing w:line="360" w:lineRule="auto"/>
              <w:jc w:val="left"/>
              <w:rPr>
                <w:rFonts w:ascii="宋体" w:hAnsi="宋体" w:cs="宋体"/>
                <w:color w:val="auto"/>
                <w:highlight w:val="none"/>
              </w:rPr>
            </w:pPr>
            <w:r>
              <w:rPr>
                <w:rFonts w:hint="eastAsia" w:ascii="宋体" w:hAnsi="宋体" w:cs="宋体"/>
                <w:color w:val="auto"/>
                <w:highlight w:val="none"/>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pPr>
              <w:pStyle w:val="2"/>
              <w:spacing w:line="360" w:lineRule="auto"/>
              <w:rPr>
                <w:rFonts w:ascii="宋体" w:hAnsi="宋体" w:cs="宋体"/>
                <w:color w:val="auto"/>
                <w:highlight w:val="none"/>
              </w:rPr>
            </w:pPr>
            <w:r>
              <w:rPr>
                <w:rFonts w:hint="eastAsia" w:ascii="宋体" w:hAnsi="宋体" w:cs="宋体"/>
                <w:b/>
                <w:color w:val="auto"/>
                <w:szCs w:val="21"/>
                <w:highlight w:val="none"/>
              </w:rPr>
              <w:t>响应报价包含验收费用。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416" w:type="dxa"/>
            <w:vAlign w:val="center"/>
          </w:tcPr>
          <w:p>
            <w:pPr>
              <w:pStyle w:val="12"/>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416" w:type="dxa"/>
            <w:vAlign w:val="center"/>
          </w:tcPr>
          <w:p>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磋商保证金，相关要求如下：</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1.磋商保证金的缴纳方式：详见竞争性磋商公告。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2.磋商保证金的金额：详见竞争性磋商公告。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4.磋商保证金采用支票、汇票、本票或者金融机构、担保机构出具的保函等缴纳方式的，供应商应将支票、汇票、本票或者金融机构、担保机构出具的保函等的复印件</w:t>
            </w:r>
            <w:r>
              <w:rPr>
                <w:color w:val="auto"/>
                <w:highlight w:val="none"/>
              </w:rPr>
              <w:t>或者金融机构、担保机构出具的电子保函</w:t>
            </w:r>
            <w:r>
              <w:rPr>
                <w:rFonts w:hint="eastAsia" w:ascii="宋体" w:hAnsi="宋体" w:cs="宋体"/>
                <w:color w:val="auto"/>
                <w:szCs w:val="21"/>
                <w:highlight w:val="none"/>
              </w:rPr>
              <w:t>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首次响应文件提交截止时间前</w:t>
            </w:r>
            <w:r>
              <w:rPr>
                <w:rFonts w:hint="eastAsia" w:ascii="宋体" w:hAnsi="宋体" w:cs="宋体"/>
                <w:color w:val="auto"/>
                <w:szCs w:val="21"/>
                <w:highlight w:val="none"/>
              </w:rPr>
              <w:t>将支票、汇票、本票或者金融机构、担保机构出具的保函（电子保函除外）等原件提交给采购代理机构，由采购代理机构向供应商出具回执，并妥善保管。</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5.磋商保证金指定账户：详见竞争性磋商公告。</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6.供应商为联合体的，可以由联合体中的一方或者多方共同缴纳磋商保证金，其缴纳的磋商保证金对联合体各方均具有约束力。</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2.供应商采用现金方式或者从个人账户（自然人竞标除外）转出的磋商保证金，视为无效磋商保证金。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首次响应文件提交截止时间</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首次响应文件开启时间</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评审方法</w:t>
            </w:r>
          </w:p>
        </w:tc>
        <w:tc>
          <w:tcPr>
            <w:tcW w:w="6416" w:type="dxa"/>
            <w:vAlign w:val="center"/>
          </w:tcPr>
          <w:p>
            <w:pPr>
              <w:pStyle w:val="14"/>
              <w:spacing w:line="360" w:lineRule="auto"/>
              <w:rPr>
                <w:rFonts w:ascii="宋体" w:hAnsi="宋体" w:cs="宋体"/>
                <w:color w:val="auto"/>
                <w:szCs w:val="21"/>
                <w:highlight w:val="none"/>
              </w:rPr>
            </w:pPr>
            <w:r>
              <w:rPr>
                <w:rFonts w:hint="eastAsia"/>
                <w:color w:val="auto"/>
                <w:highlight w:val="none"/>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416" w:type="dxa"/>
            <w:vAlign w:val="center"/>
          </w:tcPr>
          <w:p>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如采用视频会议形式进行磋商，将按照提交首次响应文件的顺序，通知磋商时，若某供应商不在通知现场时，该供应商排序到最后磋商，按照签到的顺序由其下一位供应商先参与磋商。</w:t>
            </w:r>
          </w:p>
          <w:p>
            <w:pPr>
              <w:pStyle w:val="14"/>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416"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3.采用金融、担保机构出具保函的，必须为无条件保函，否则视为未按规定提交履约保证金。</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416" w:type="dxa"/>
            <w:vAlign w:val="center"/>
          </w:tcPr>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pPr>
              <w:snapToGrid w:val="0"/>
              <w:spacing w:line="360" w:lineRule="auto"/>
              <w:rPr>
                <w:rFonts w:ascii="宋体" w:hAnsi="宋体" w:cs="宋体"/>
                <w:b/>
                <w:bCs/>
                <w:i/>
                <w:i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方式</w:t>
            </w:r>
          </w:p>
        </w:tc>
        <w:tc>
          <w:tcPr>
            <w:tcW w:w="6416" w:type="dxa"/>
            <w:vAlign w:val="center"/>
          </w:tcPr>
          <w:p>
            <w:pPr>
              <w:numPr>
                <w:ilvl w:val="0"/>
                <w:numId w:val="2"/>
              </w:numPr>
              <w:snapToGrid w:val="0"/>
              <w:spacing w:line="360" w:lineRule="auto"/>
              <w:rPr>
                <w:rFonts w:ascii="宋体" w:hAnsi="宋体" w:cs="宋体"/>
                <w:color w:val="auto"/>
                <w:szCs w:val="21"/>
                <w:highlight w:val="none"/>
              </w:rPr>
            </w:pPr>
            <w:bookmarkStart w:id="73" w:name="PO_3000001868_PM031_3"/>
            <w:r>
              <w:rPr>
                <w:rFonts w:hint="eastAsia" w:ascii="宋体" w:hAnsi="宋体" w:cs="宋体"/>
                <w:color w:val="auto"/>
                <w:szCs w:val="21"/>
                <w:highlight w:val="none"/>
              </w:rPr>
              <w:t>名称：</w:t>
            </w:r>
            <w:bookmarkEnd w:id="73"/>
            <w:r>
              <w:rPr>
                <w:rFonts w:hint="eastAsia" w:ascii="宋体" w:hAnsi="宋体" w:cs="宋体"/>
                <w:color w:val="auto"/>
                <w:kern w:val="0"/>
                <w:szCs w:val="21"/>
                <w:highlight w:val="none"/>
              </w:rPr>
              <w:t>广西壮族自治区林业局</w:t>
            </w:r>
          </w:p>
          <w:p>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w:t>
            </w:r>
            <w:r>
              <w:rPr>
                <w:rFonts w:hint="eastAsia"/>
                <w:color w:val="auto"/>
                <w:highlight w:val="none"/>
                <w:lang w:val="en-US" w:eastAsia="zh-CN"/>
              </w:rPr>
              <w:t>0771-6783361</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广西南宁市青秀区云景路21号自治区林业局</w:t>
            </w:r>
          </w:p>
          <w:p>
            <w:pPr>
              <w:spacing w:line="360" w:lineRule="auto"/>
              <w:ind w:firstLine="630" w:firstLineChars="300"/>
              <w:rPr>
                <w:color w:val="auto"/>
                <w:highlight w:val="none"/>
              </w:rPr>
            </w:pP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南宁华鑫招标代理有限公司</w:t>
            </w:r>
          </w:p>
          <w:p>
            <w:pPr>
              <w:snapToGrid w:val="0"/>
              <w:spacing w:line="360" w:lineRule="auto"/>
              <w:rPr>
                <w:rFonts w:hAnsi="宋体" w:cs="宋体"/>
                <w:color w:val="auto"/>
                <w:highlight w:val="none"/>
              </w:rPr>
            </w:pPr>
            <w:r>
              <w:rPr>
                <w:rFonts w:hint="eastAsia"/>
                <w:color w:val="auto"/>
                <w:szCs w:val="21"/>
                <w:highlight w:val="none"/>
              </w:rPr>
              <w:t>联系</w:t>
            </w:r>
            <w:r>
              <w:rPr>
                <w:color w:val="auto"/>
                <w:szCs w:val="21"/>
                <w:highlight w:val="none"/>
              </w:rPr>
              <w:t>地址</w:t>
            </w:r>
            <w:r>
              <w:rPr>
                <w:rFonts w:hint="eastAsia" w:cs="Helvetica"/>
                <w:color w:val="auto"/>
                <w:szCs w:val="21"/>
                <w:highlight w:val="none"/>
              </w:rPr>
              <w:t>：</w:t>
            </w:r>
            <w:r>
              <w:rPr>
                <w:rFonts w:hint="eastAsia" w:ascii="宋体" w:hAnsi="宋体" w:cs="宋体"/>
                <w:color w:val="auto"/>
                <w:kern w:val="0"/>
                <w:szCs w:val="21"/>
                <w:highlight w:val="none"/>
              </w:rPr>
              <w:t>广西南宁市良庆区龙堤路69号滨江御景b栋2层</w:t>
            </w:r>
            <w:r>
              <w:rPr>
                <w:rFonts w:hint="eastAsia" w:ascii="宋体" w:hAnsi="宋体"/>
                <w:color w:val="auto"/>
                <w:szCs w:val="21"/>
                <w:highlight w:val="none"/>
                <w:lang w:eastAsia="zh-CN"/>
              </w:rPr>
              <w:t>南宁华鑫招标代理有限公司</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17600070170/0771-3380218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现场提交质疑办理业务</w:t>
            </w:r>
          </w:p>
          <w:p>
            <w:pPr>
              <w:spacing w:line="360" w:lineRule="auto"/>
              <w:jc w:val="center"/>
              <w:rPr>
                <w:rFonts w:ascii="宋体" w:hAnsi="宋体" w:cs="宋体"/>
                <w:color w:val="auto"/>
                <w:szCs w:val="21"/>
                <w:highlight w:val="none"/>
              </w:rPr>
            </w:pPr>
            <w:r>
              <w:rPr>
                <w:rFonts w:hint="eastAsia" w:ascii="宋体" w:hAnsi="宋体" w:cs="宋体"/>
                <w:color w:val="auto"/>
                <w:highlight w:val="none"/>
              </w:rPr>
              <w:t>时间</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质疑期内每个工作日（北京时间）上午8时</w:t>
            </w:r>
            <w:r>
              <w:rPr>
                <w:rFonts w:hint="eastAsia" w:ascii="宋体" w:hAnsi="宋体" w:cs="宋体"/>
                <w:color w:val="auto"/>
                <w:highlight w:val="none"/>
                <w:lang w:val="en-US" w:eastAsia="zh-CN"/>
              </w:rPr>
              <w:t>3</w:t>
            </w:r>
            <w:r>
              <w:rPr>
                <w:rFonts w:hint="eastAsia" w:ascii="宋体" w:hAnsi="宋体" w:cs="宋体"/>
                <w:color w:val="auto"/>
                <w:highlight w:val="none"/>
              </w:rPr>
              <w:t>0分到12时00分，下午15时00分到1</w:t>
            </w:r>
            <w:r>
              <w:rPr>
                <w:rFonts w:hint="eastAsia" w:ascii="宋体" w:hAnsi="宋体" w:cs="宋体"/>
                <w:color w:val="auto"/>
                <w:highlight w:val="none"/>
                <w:lang w:val="en-US" w:eastAsia="zh-CN"/>
              </w:rPr>
              <w:t>7</w:t>
            </w:r>
            <w:r>
              <w:rPr>
                <w:rFonts w:hint="eastAsia" w:ascii="宋体" w:hAnsi="宋体" w:cs="宋体"/>
                <w:color w:val="auto"/>
                <w:highlight w:val="none"/>
              </w:rPr>
              <w:t>时</w:t>
            </w:r>
            <w:r>
              <w:rPr>
                <w:rFonts w:hint="eastAsia" w:ascii="宋体" w:hAnsi="宋体" w:cs="宋体"/>
                <w:color w:val="auto"/>
                <w:highlight w:val="none"/>
                <w:lang w:val="en-US" w:eastAsia="zh-CN"/>
              </w:rPr>
              <w:t>3</w:t>
            </w:r>
            <w:r>
              <w:rPr>
                <w:rFonts w:hint="eastAsia" w:ascii="宋体" w:hAnsi="宋体" w:cs="宋体"/>
                <w:color w:val="auto"/>
                <w:highlight w:val="none"/>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416" w:type="dxa"/>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pPr>
              <w:snapToGrid w:val="0"/>
              <w:spacing w:line="360" w:lineRule="auto"/>
              <w:rPr>
                <w:rFonts w:ascii="宋体" w:hAnsi="宋体" w:cs="宋体"/>
                <w:color w:val="auto"/>
                <w:highlight w:val="none"/>
              </w:rPr>
            </w:pPr>
            <w:r>
              <w:rPr>
                <w:rFonts w:hint="eastAsia" w:ascii="宋体" w:hAnsi="宋体" w:cs="宋体"/>
                <w:color w:val="auto"/>
                <w:highlight w:val="none"/>
              </w:rPr>
              <w:t>2、通讯方式</w:t>
            </w:r>
          </w:p>
          <w:p>
            <w:pPr>
              <w:snapToGrid w:val="0"/>
              <w:spacing w:line="360" w:lineRule="auto"/>
              <w:rPr>
                <w:rFonts w:ascii="宋体" w:hAnsi="宋体" w:cs="宋体"/>
                <w:color w:val="auto"/>
                <w:highlight w:val="none"/>
              </w:rPr>
            </w:pPr>
            <w:r>
              <w:rPr>
                <w:rFonts w:hint="eastAsia" w:ascii="宋体" w:hAnsi="宋体" w:cs="宋体"/>
                <w:color w:val="auto"/>
                <w:highlight w:val="none"/>
              </w:rPr>
              <w:t xml:space="preserve">名称： 广西壮族自治区财政厅 </w:t>
            </w:r>
          </w:p>
          <w:p>
            <w:pPr>
              <w:snapToGrid w:val="0"/>
              <w:spacing w:line="360" w:lineRule="auto"/>
              <w:rPr>
                <w:rFonts w:ascii="宋体" w:hAnsi="宋体" w:cs="宋体"/>
                <w:color w:val="auto"/>
                <w:highlight w:val="none"/>
              </w:rPr>
            </w:pPr>
            <w:r>
              <w:rPr>
                <w:rFonts w:hint="eastAsia" w:ascii="宋体" w:hAnsi="宋体" w:cs="宋体"/>
                <w:color w:val="auto"/>
                <w:highlight w:val="none"/>
              </w:rPr>
              <w:t xml:space="preserve">地址： 南宁市青秀区桃源路69号 </w:t>
            </w:r>
          </w:p>
          <w:p>
            <w:pPr>
              <w:snapToGrid w:val="0"/>
              <w:spacing w:line="360" w:lineRule="auto"/>
              <w:rPr>
                <w:rFonts w:ascii="宋体" w:hAnsi="宋体" w:cs="宋体"/>
                <w:color w:val="auto"/>
                <w:highlight w:val="none"/>
              </w:rPr>
            </w:pPr>
            <w:r>
              <w:rPr>
                <w:rFonts w:hint="eastAsia" w:ascii="宋体" w:hAnsi="宋体" w:cs="宋体"/>
                <w:color w:val="auto"/>
                <w:highlight w:val="none"/>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416" w:type="dxa"/>
            <w:vAlign w:val="center"/>
          </w:tcPr>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 本项目收取采购代理服务费</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2.采购代理服务费支付方式：</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本项目采购代理服务费由成交供应商在签订合同前，</w:t>
            </w:r>
            <w:r>
              <w:rPr>
                <w:rFonts w:hint="eastAsia" w:ascii="宋体" w:hAnsi="宋体" w:cs="宋体"/>
                <w:color w:val="auto"/>
                <w:highlight w:val="none"/>
              </w:rPr>
              <w:t>以银行转账、电汇等方式</w:t>
            </w:r>
            <w:r>
              <w:rPr>
                <w:rFonts w:hint="eastAsia" w:ascii="宋体" w:hAnsi="宋体" w:cs="宋体"/>
                <w:color w:val="auto"/>
                <w:kern w:val="0"/>
                <w:szCs w:val="21"/>
                <w:highlight w:val="none"/>
              </w:rPr>
              <w:t>一次性向采购代理机构支付。</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3.采购代理服务费收取标准：</w:t>
            </w:r>
          </w:p>
          <w:p>
            <w:pPr>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以项目预算金额为计费额，按</w:t>
            </w:r>
            <w:r>
              <w:rPr>
                <w:rFonts w:hint="eastAsia" w:ascii="宋体" w:hAnsi="宋体" w:cs="宋体"/>
                <w:color w:val="auto"/>
                <w:highlight w:val="none"/>
              </w:rPr>
              <w:t>本须知正文第33.2条规定的收费计算标准（</w:t>
            </w:r>
            <w:r>
              <w:rPr>
                <w:rFonts w:hint="eastAsia" w:ascii="宋体" w:hAnsi="宋体" w:cs="宋体"/>
                <w:b/>
                <w:bCs/>
                <w:color w:val="auto"/>
                <w:kern w:val="0"/>
                <w:szCs w:val="21"/>
                <w:highlight w:val="none"/>
                <w:u w:val="single"/>
              </w:rPr>
              <w:t>服务类</w:t>
            </w:r>
            <w:r>
              <w:rPr>
                <w:rFonts w:hint="eastAsia" w:ascii="宋体" w:hAnsi="宋体" w:cs="宋体"/>
                <w:color w:val="auto"/>
                <w:highlight w:val="none"/>
              </w:rPr>
              <w:t>）</w:t>
            </w:r>
            <w:r>
              <w:rPr>
                <w:rFonts w:hint="eastAsia" w:ascii="宋体" w:hAnsi="宋体" w:cs="宋体"/>
                <w:color w:val="auto"/>
                <w:kern w:val="0"/>
                <w:szCs w:val="21"/>
                <w:highlight w:val="none"/>
              </w:rPr>
              <w:t>采用差额定率累进法计算出收费基准价格，采购代理机构收费以收费基准价格收取。</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4.采购代理服务费收取银行账户的信息</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lang w:eastAsia="zh-CN"/>
              </w:rPr>
              <w:t>南宁华鑫招标代理有限公司</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广西北部湾银行股份有限公司营业部</w:t>
            </w:r>
          </w:p>
          <w:p>
            <w:pPr>
              <w:snapToGrid w:val="0"/>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lang w:eastAsia="zh-CN"/>
              </w:rPr>
              <w:t>805331302700001</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416" w:type="dxa"/>
            <w:vAlign w:val="center"/>
          </w:tcPr>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解释：</w:t>
            </w:r>
            <w:r>
              <w:rPr>
                <w:rFonts w:hint="eastAsia" w:ascii="宋体" w:hAnsi="宋体" w:cs="宋体"/>
                <w:color w:val="auto"/>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16" w:type="dxa"/>
            <w:vAlign w:val="center"/>
          </w:tcPr>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4"/>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5.自然人竞标的，竞争性磋商文件规定盖公章处由自然人摁手指指印。</w:t>
            </w:r>
          </w:p>
          <w:p>
            <w:pPr>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 xml:space="preserve">    6.本竞争性磋商文件所称的“以上”“以下”“以内”“届满”，包括本数；所称的“不满”“超过”“以外”，不包括本数。</w:t>
            </w:r>
          </w:p>
        </w:tc>
      </w:tr>
    </w:tbl>
    <w:p>
      <w:pPr>
        <w:pStyle w:val="4"/>
        <w:spacing w:line="420" w:lineRule="exact"/>
        <w:jc w:val="center"/>
        <w:rPr>
          <w:rFonts w:ascii="宋体" w:hAnsi="宋体"/>
          <w:b w:val="0"/>
          <w:color w:val="auto"/>
          <w:highlight w:val="none"/>
        </w:rPr>
      </w:pPr>
      <w:r>
        <w:rPr>
          <w:rFonts w:ascii="宋体" w:hAnsi="宋体"/>
          <w:b w:val="0"/>
          <w:color w:val="auto"/>
          <w:highlight w:val="none"/>
        </w:rPr>
        <w:br w:type="page"/>
      </w:r>
      <w:bookmarkStart w:id="74" w:name="_Toc80886929"/>
      <w:bookmarkStart w:id="75" w:name="_Toc30957"/>
      <w:bookmarkStart w:id="76" w:name="_Toc27094"/>
      <w:r>
        <w:rPr>
          <w:rFonts w:hint="eastAsia" w:ascii="宋体" w:hAnsi="宋体"/>
          <w:b w:val="0"/>
          <w:color w:val="auto"/>
          <w:highlight w:val="none"/>
        </w:rPr>
        <w:t>第二节 供应商须知正文</w:t>
      </w:r>
      <w:bookmarkEnd w:id="74"/>
      <w:bookmarkEnd w:id="75"/>
      <w:bookmarkEnd w:id="76"/>
    </w:p>
    <w:p>
      <w:pPr>
        <w:pStyle w:val="5"/>
        <w:spacing w:before="0" w:after="0" w:line="360" w:lineRule="auto"/>
        <w:ind w:firstLine="640" w:firstLineChars="200"/>
        <w:rPr>
          <w:b w:val="0"/>
          <w:color w:val="auto"/>
          <w:highlight w:val="none"/>
        </w:rPr>
      </w:pPr>
      <w:bookmarkStart w:id="77" w:name="_Toc26166"/>
      <w:bookmarkStart w:id="78" w:name="_Toc6457"/>
      <w:bookmarkStart w:id="79" w:name="_Toc80886930"/>
      <w:r>
        <w:rPr>
          <w:rFonts w:hint="eastAsia"/>
          <w:b w:val="0"/>
          <w:color w:val="auto"/>
          <w:highlight w:val="none"/>
        </w:rPr>
        <w:t>一、总则</w:t>
      </w:r>
      <w:bookmarkEnd w:id="77"/>
      <w:bookmarkEnd w:id="78"/>
      <w:bookmarkEnd w:id="79"/>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w:t>
      </w:r>
      <w:r>
        <w:rPr>
          <w:rFonts w:hint="eastAsia" w:ascii="宋体" w:hAnsi="宋体" w:cs="宋体"/>
          <w:color w:val="auto"/>
          <w:szCs w:val="21"/>
          <w:highlight w:val="none"/>
        </w:rPr>
        <w:t>报价文件、商务和技术文件</w:t>
      </w:r>
      <w:r>
        <w:rPr>
          <w:rFonts w:hint="eastAsia" w:ascii="宋体" w:hAnsi="宋体" w:cs="宋体"/>
          <w:color w:val="auto"/>
          <w:spacing w:val="-6"/>
          <w:szCs w:val="21"/>
          <w:highlight w:val="none"/>
        </w:rPr>
        <w:t>等所有内容的文件。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2.13“评审报价”是指供应商提</w:t>
      </w:r>
      <w:r>
        <w:rPr>
          <w:rFonts w:hint="eastAsia" w:cs="宋体"/>
          <w:color w:val="auto"/>
          <w:szCs w:val="21"/>
          <w:highlight w:val="none"/>
        </w:rPr>
        <w:t>交的最后报价并经修正（如有）和政策功能价格扣除（如有）后的价格。</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cs="宋体"/>
          <w:color w:val="auto"/>
          <w:szCs w:val="21"/>
          <w:highlight w:val="none"/>
        </w:rPr>
      </w:pPr>
      <w:r>
        <w:rPr>
          <w:rFonts w:hint="eastAsia" w:cs="宋体"/>
          <w:color w:val="auto"/>
          <w:szCs w:val="21"/>
          <w:highlight w:val="none"/>
        </w:rPr>
        <w:t>供应商的资格条件详见“供应商须知前附表”。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pPr>
        <w:spacing w:line="360" w:lineRule="auto"/>
        <w:ind w:firstLine="420" w:firstLineChars="200"/>
        <w:rPr>
          <w:rFonts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pPr>
        <w:spacing w:line="360" w:lineRule="auto"/>
        <w:ind w:firstLine="481" w:firstLineChars="200"/>
        <w:rPr>
          <w:rFonts w:ascii="黑体" w:hAnsi="黑体" w:eastAsia="黑体" w:cs="宋体"/>
          <w:b/>
          <w:bCs/>
          <w:color w:val="auto"/>
          <w:sz w:val="24"/>
          <w:highlight w:val="none"/>
        </w:rPr>
      </w:pPr>
      <w:bookmarkStart w:id="80" w:name="_Toc254970673"/>
      <w:bookmarkStart w:id="81" w:name="_Toc254970532"/>
      <w:r>
        <w:rPr>
          <w:rFonts w:hint="eastAsia" w:ascii="黑体" w:hAnsi="黑体" w:eastAsia="黑体" w:cs="宋体"/>
          <w:b/>
          <w:bCs/>
          <w:color w:val="auto"/>
          <w:sz w:val="24"/>
          <w:highlight w:val="none"/>
        </w:rPr>
        <w:t>7.特别说明</w:t>
      </w:r>
      <w:bookmarkEnd w:id="80"/>
      <w:bookmarkEnd w:id="81"/>
    </w:p>
    <w:p>
      <w:pPr>
        <w:spacing w:line="360" w:lineRule="auto"/>
        <w:ind w:firstLine="420" w:firstLineChars="200"/>
        <w:rPr>
          <w:rFonts w:ascii="宋体" w:hAnsi="宋体" w:cs="宋体"/>
          <w:color w:val="auto"/>
          <w:szCs w:val="21"/>
          <w:highlight w:val="none"/>
        </w:rPr>
      </w:pPr>
      <w:bookmarkStart w:id="82" w:name="_8.1提供相同品牌产品且通过资格审查、符合性审查的不同投标人参加同一合"/>
      <w:bookmarkEnd w:id="82"/>
      <w:r>
        <w:rPr>
          <w:rFonts w:hint="eastAsia" w:ascii="宋体" w:hAnsi="宋体" w:cs="宋体"/>
          <w:color w:val="auto"/>
          <w:szCs w:val="21"/>
          <w:highlight w:val="none"/>
        </w:rPr>
        <w:t>7.1</w:t>
      </w:r>
      <w:bookmarkStart w:id="8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3"/>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7.4在政府采购活动中，采购人员及相关人员与供应商有下列利害关系之一的，应当回避：</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（1）参加采购活动前3年内与供应商存在劳动关系；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（2）参加采购活动前3年内担任供应商的董事、监事；</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（3）参加采购活动前3年内是供应商的控股股东或者实际控制人；</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（4）与供应商的法定代表人或者负责人有夫妻、直系血亲、三代以内旁系血亲或者近姻亲关系；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（5）与供应商有其他可能影响政府采购活动公平、公正进行的关系。</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7.5有下列情形之一的视为供应商相互串通竞标，响应文件将被视为无效：</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pPr>
        <w:tabs>
          <w:tab w:val="left" w:pos="6931"/>
        </w:tabs>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hint="eastAsia" w:ascii="宋体" w:hAnsi="宋体" w:cs="宋体"/>
          <w:b/>
          <w:bCs/>
          <w:color w:val="auto"/>
          <w:szCs w:val="21"/>
          <w:highlight w:val="none"/>
        </w:rPr>
        <w:tab/>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7.6供应商有下列情形之一的，属于恶意串通行为，将报同级监督管理部门：</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（1）供应商直接或者间接从采购人或者采购代理机构处获得其他供应商的相关信息并修改其响应文件；</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（2）供应商按照采购人或者采购代理机构的授意撤换、修改响应文件；</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（3）供应商之间协商报价、技术方案等响应文件的实质性内容；</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（4）属于同一集团、协会、商会等组织成员的供应商按照该组织要求协同参加政府采购活动；</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（6）供应商之间商定部分供应商放弃参加政府采购活动或者放弃成交；</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b w:val="0"/>
          <w:bCs w:val="0"/>
          <w:color w:val="auto"/>
          <w:highlight w:val="none"/>
        </w:rPr>
      </w:pPr>
      <w:bookmarkStart w:id="84" w:name="_Toc12713"/>
      <w:bookmarkStart w:id="85" w:name="_Toc254970534"/>
      <w:bookmarkStart w:id="86" w:name="_Toc80886931"/>
      <w:bookmarkStart w:id="87" w:name="_Toc254970675"/>
      <w:bookmarkStart w:id="88" w:name="_Toc27583"/>
    </w:p>
    <w:p>
      <w:pPr>
        <w:pStyle w:val="5"/>
        <w:spacing w:before="0" w:after="0" w:line="360" w:lineRule="auto"/>
        <w:ind w:firstLine="640" w:firstLineChars="200"/>
        <w:rPr>
          <w:b w:val="0"/>
          <w:bCs w:val="0"/>
          <w:color w:val="auto"/>
          <w:highlight w:val="none"/>
        </w:rPr>
      </w:pPr>
      <w:r>
        <w:rPr>
          <w:rFonts w:hint="eastAsia"/>
          <w:b w:val="0"/>
          <w:bCs w:val="0"/>
          <w:color w:val="auto"/>
          <w:highlight w:val="none"/>
        </w:rPr>
        <w:t>二、磋商文件</w:t>
      </w:r>
      <w:bookmarkEnd w:id="84"/>
      <w:bookmarkEnd w:id="85"/>
      <w:bookmarkEnd w:id="86"/>
      <w:bookmarkEnd w:id="87"/>
      <w:bookmarkEnd w:id="88"/>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color w:val="auto"/>
          <w:szCs w:val="21"/>
          <w:highlight w:val="none"/>
        </w:rPr>
      </w:pPr>
      <w:r>
        <w:rPr>
          <w:rFonts w:hint="eastAsia"/>
          <w:color w:val="auto"/>
          <w:szCs w:val="21"/>
          <w:highlight w:val="none"/>
        </w:rPr>
        <w:t>第一章 竞争性磋商公告；</w:t>
      </w:r>
    </w:p>
    <w:p>
      <w:pPr>
        <w:spacing w:line="360" w:lineRule="auto"/>
        <w:ind w:firstLine="420" w:firstLineChars="200"/>
        <w:jc w:val="left"/>
        <w:rPr>
          <w:color w:val="auto"/>
          <w:szCs w:val="21"/>
          <w:highlight w:val="none"/>
        </w:rPr>
      </w:pPr>
      <w:r>
        <w:rPr>
          <w:rFonts w:hint="eastAsia"/>
          <w:color w:val="auto"/>
          <w:szCs w:val="21"/>
          <w:highlight w:val="none"/>
        </w:rPr>
        <w:t>第二章 采购需求；</w:t>
      </w:r>
    </w:p>
    <w:p>
      <w:pPr>
        <w:spacing w:line="360" w:lineRule="auto"/>
        <w:ind w:firstLine="420" w:firstLineChars="200"/>
        <w:jc w:val="left"/>
        <w:rPr>
          <w:color w:val="auto"/>
          <w:szCs w:val="21"/>
          <w:highlight w:val="none"/>
        </w:rPr>
      </w:pPr>
      <w:r>
        <w:rPr>
          <w:rFonts w:hint="eastAsia"/>
          <w:color w:val="auto"/>
          <w:szCs w:val="21"/>
          <w:highlight w:val="none"/>
        </w:rPr>
        <w:t xml:space="preserve">第三章 供应商须知； </w:t>
      </w:r>
    </w:p>
    <w:p>
      <w:pPr>
        <w:spacing w:line="360" w:lineRule="auto"/>
        <w:ind w:firstLine="420" w:firstLineChars="200"/>
        <w:jc w:val="left"/>
        <w:rPr>
          <w:color w:val="auto"/>
          <w:szCs w:val="21"/>
          <w:highlight w:val="none"/>
        </w:rPr>
      </w:pPr>
      <w:r>
        <w:rPr>
          <w:rFonts w:hint="eastAsia"/>
          <w:color w:val="auto"/>
          <w:szCs w:val="21"/>
          <w:highlight w:val="none"/>
        </w:rPr>
        <w:t>第四章 评审程序、评审方法和评审标准；</w:t>
      </w:r>
    </w:p>
    <w:p>
      <w:pPr>
        <w:spacing w:line="360" w:lineRule="auto"/>
        <w:ind w:firstLine="420" w:firstLineChars="200"/>
        <w:jc w:val="left"/>
        <w:rPr>
          <w:color w:val="auto"/>
          <w:szCs w:val="21"/>
          <w:highlight w:val="none"/>
        </w:rPr>
      </w:pPr>
      <w:r>
        <w:rPr>
          <w:rFonts w:hint="eastAsia"/>
          <w:color w:val="auto"/>
          <w:szCs w:val="21"/>
          <w:highlight w:val="none"/>
        </w:rPr>
        <w:t>第五章 响应文件格式；</w:t>
      </w:r>
    </w:p>
    <w:p>
      <w:pPr>
        <w:spacing w:line="360" w:lineRule="auto"/>
        <w:ind w:firstLine="420" w:firstLineChars="200"/>
        <w:jc w:val="left"/>
        <w:rPr>
          <w:color w:val="auto"/>
          <w:szCs w:val="21"/>
          <w:highlight w:val="none"/>
        </w:rPr>
      </w:pPr>
      <w:r>
        <w:rPr>
          <w:rFonts w:hint="eastAsia"/>
          <w:color w:val="auto"/>
          <w:szCs w:val="21"/>
          <w:highlight w:val="none"/>
        </w:rPr>
        <w:t>第六章 合同文本；</w:t>
      </w:r>
    </w:p>
    <w:p>
      <w:pPr>
        <w:spacing w:line="360" w:lineRule="auto"/>
        <w:ind w:firstLine="420" w:firstLineChars="200"/>
        <w:jc w:val="left"/>
        <w:rPr>
          <w:color w:val="auto"/>
          <w:szCs w:val="21"/>
          <w:highlight w:val="none"/>
        </w:rPr>
      </w:pPr>
      <w:r>
        <w:rPr>
          <w:rFonts w:hint="eastAsia"/>
          <w:color w:val="auto"/>
          <w:szCs w:val="21"/>
          <w:highlight w:val="none"/>
        </w:rPr>
        <w:t>第七章 质疑、投诉材料格式。</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1"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响应文件未按磋商文件的澄清、修改的内容编制，又不符合实质性要求的，其响应文件按无效处理。</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bookmarkStart w:id="89" w:name="_Toc80886932"/>
      <w:bookmarkStart w:id="90" w:name="_Toc21480"/>
      <w:bookmarkStart w:id="91" w:name="_Toc21690"/>
      <w:r>
        <w:rPr>
          <w:rFonts w:hint="eastAsia"/>
          <w:b w:val="0"/>
          <w:bCs w:val="0"/>
          <w:color w:val="auto"/>
          <w:highlight w:val="none"/>
        </w:rPr>
        <w:t>三、响应文件的编制</w:t>
      </w:r>
      <w:bookmarkEnd w:id="89"/>
      <w:bookmarkEnd w:id="90"/>
      <w:bookmarkEnd w:id="91"/>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（2）供应商必须就所竞标的项目/分标的单项内容作唯一报价。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92" w:name="_Hlk42592874"/>
      <w:r>
        <w:rPr>
          <w:rFonts w:hint="eastAsia" w:ascii="宋体" w:hAnsi="宋体" w:cs="宋体"/>
          <w:color w:val="auto"/>
          <w:szCs w:val="21"/>
          <w:highlight w:val="none"/>
        </w:rPr>
        <w:t>响应报价（包含首次报价、最后报价）超过分项采购预算金额或者最高限价的（如本项目公布了最高限价），其响应文件将按无效处理。</w:t>
      </w:r>
    </w:p>
    <w:bookmarkEnd w:id="92"/>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1" w:firstLineChars="200"/>
        <w:rPr>
          <w:rFonts w:ascii="黑体" w:hAnsi="黑体" w:eastAsia="黑体" w:cs="宋体"/>
          <w:b/>
          <w:bCs/>
          <w:i/>
          <w:i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pPr>
        <w:pStyle w:val="8"/>
        <w:spacing w:line="360" w:lineRule="auto"/>
        <w:ind w:firstLine="315" w:firstLineChars="15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17.2.2成交供应商的磋商保证金自签订合同之日起5个工作日内退还，退还方式同未成交供应商的磋商保证金的退还方式；或者转为成交供应商的履约保证金。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left="420" w:leftChars="200"/>
        <w:rPr>
          <w:rFonts w:cs="宋体"/>
          <w:color w:val="auto"/>
          <w:szCs w:val="21"/>
          <w:highlight w:val="none"/>
        </w:rPr>
      </w:pPr>
      <w:r>
        <w:rPr>
          <w:rFonts w:hint="eastAsia" w:ascii="宋体" w:hAnsi="宋体" w:cs="宋体"/>
          <w:color w:val="auto"/>
          <w:szCs w:val="21"/>
          <w:highlight w:val="none"/>
        </w:rPr>
        <w:t>（5）磋商文件规定的其他情形。</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93" w:name="_Hlk65832699"/>
      <w:r>
        <w:rPr>
          <w:rFonts w:hint="eastAsia" w:ascii="宋体" w:hAnsi="宋体" w:cs="宋体"/>
          <w:color w:val="auto"/>
          <w:szCs w:val="21"/>
          <w:highlight w:val="none"/>
        </w:rPr>
        <w:t>3响应文件须由供应商按</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要求进行签署、盖章</w:t>
      </w:r>
      <w:bookmarkEnd w:id="93"/>
      <w:r>
        <w:rPr>
          <w:rFonts w:hint="eastAsia" w:ascii="宋体" w:hAnsi="宋体" w:cs="宋体"/>
          <w:color w:val="auto"/>
          <w:szCs w:val="21"/>
          <w:highlight w:val="none"/>
        </w:rPr>
        <w:t>，</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18.4响应文件中标注的供应商名称应与营业执照（事业单位法人证书、执业许可证、自然人身份证）及供应商公章一致，</w:t>
      </w:r>
      <w:r>
        <w:rPr>
          <w:rFonts w:hint="eastAsia" w:ascii="宋体" w:hAnsi="宋体" w:cs="宋体"/>
          <w:b/>
          <w:bCs/>
          <w:color w:val="auto"/>
          <w:szCs w:val="21"/>
          <w:highlight w:val="none"/>
        </w:rPr>
        <w:t>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详见“供应商须知前附表”。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pacing w:line="360" w:lineRule="auto"/>
        <w:ind w:firstLine="420" w:firstLineChars="200"/>
        <w:rPr>
          <w:rFonts w:cs="宋体"/>
          <w:color w:val="auto"/>
          <w:szCs w:val="21"/>
          <w:highlight w:val="none"/>
        </w:rPr>
      </w:pPr>
      <w:r>
        <w:rPr>
          <w:rFonts w:hint="eastAsia"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1" w:firstLineChars="200"/>
        <w:rPr>
          <w:rFonts w:ascii="黑体" w:hAnsi="黑体" w:eastAsia="黑体" w:cs="宋体"/>
          <w:b/>
          <w:bCs/>
          <w:color w:val="auto"/>
          <w:sz w:val="24"/>
          <w:highlight w:val="none"/>
        </w:rPr>
      </w:pPr>
      <w:bookmarkStart w:id="94"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cs="宋体"/>
          <w:color w:val="auto"/>
          <w:szCs w:val="21"/>
          <w:highlight w:val="none"/>
        </w:rPr>
      </w:pPr>
      <w:r>
        <w:rPr>
          <w:rFonts w:hint="eastAsia" w:cs="宋体"/>
          <w:color w:val="auto"/>
          <w:szCs w:val="21"/>
          <w:highlight w:val="none"/>
        </w:rPr>
        <w:t>在首次响应文件提交截止时间止提交响应文件的供应商不足3家时，电子响应文件的退回由广西政府采购云平台自动操作。</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bookmarkEnd w:id="94"/>
    <w:p>
      <w:pPr>
        <w:pStyle w:val="2"/>
        <w:spacing w:line="360" w:lineRule="auto"/>
        <w:ind w:firstLine="420" w:firstLineChars="200"/>
        <w:rPr>
          <w:rFonts w:cs="宋体"/>
          <w:i/>
          <w:iCs/>
          <w:color w:val="auto"/>
          <w:szCs w:val="21"/>
          <w:highlight w:val="none"/>
        </w:rPr>
      </w:pPr>
      <w:r>
        <w:rPr>
          <w:rFonts w:hint="eastAsia"/>
          <w:color w:val="auto"/>
          <w:highlight w:val="none"/>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b w:val="0"/>
          <w:bCs w:val="0"/>
          <w:color w:val="auto"/>
          <w:highlight w:val="none"/>
        </w:rPr>
      </w:pPr>
      <w:r>
        <w:rPr>
          <w:rFonts w:hint="eastAsia"/>
          <w:b w:val="0"/>
          <w:bCs w:val="0"/>
          <w:color w:val="auto"/>
          <w:highlight w:val="none"/>
        </w:rPr>
        <w:t xml:space="preserve"> </w:t>
      </w:r>
      <w:bookmarkStart w:id="95" w:name="_Toc80886933"/>
      <w:bookmarkStart w:id="96" w:name="_Toc17876"/>
      <w:bookmarkStart w:id="97" w:name="_Toc20044"/>
    </w:p>
    <w:p>
      <w:pPr>
        <w:pStyle w:val="5"/>
        <w:spacing w:before="0" w:after="0" w:line="360" w:lineRule="auto"/>
        <w:ind w:firstLine="640" w:firstLineChars="200"/>
        <w:rPr>
          <w:b w:val="0"/>
          <w:bCs w:val="0"/>
          <w:color w:val="auto"/>
          <w:highlight w:val="none"/>
        </w:rPr>
      </w:pPr>
      <w:r>
        <w:rPr>
          <w:rFonts w:hint="eastAsia"/>
          <w:b w:val="0"/>
          <w:bCs w:val="0"/>
          <w:color w:val="auto"/>
          <w:highlight w:val="none"/>
        </w:rPr>
        <w:t>四、评审及磋商</w:t>
      </w:r>
      <w:bookmarkEnd w:id="95"/>
      <w:bookmarkEnd w:id="96"/>
      <w:bookmarkEnd w:id="97"/>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highlight w:val="none"/>
        </w:rPr>
        <w:t>。</w:t>
      </w:r>
      <w:r>
        <w:rPr>
          <w:rFonts w:hint="eastAsia" w:ascii="宋体" w:hAnsi="宋体" w:cs="宋体"/>
          <w:color w:val="auto"/>
          <w:kern w:val="1"/>
          <w:szCs w:val="21"/>
          <w:highlight w:val="none"/>
        </w:rPr>
        <w:t>响应文件未按时解密的</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26.4电子交易活动的中止。）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供应商成功解密响应文件，但未在广西政府采购云平台电子开标大厅参加磋商的，视同认可磋商过程和结果，</w:t>
      </w:r>
      <w:r>
        <w:rPr>
          <w:rFonts w:hint="eastAsia" w:ascii="宋体" w:hAnsi="宋体" w:cs="宋体"/>
          <w:color w:val="auto"/>
          <w:kern w:val="0"/>
          <w:szCs w:val="21"/>
          <w:highlight w:val="none"/>
        </w:rPr>
        <w:t>由此产生的后果由供应商自行负责。 参与磋商的供应商不足3家的，不得磋商。</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 采购需求负偏离要求及磋商顺序详见“供应商须知前附表</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b w:val="0"/>
          <w:bCs w:val="0"/>
          <w:color w:val="auto"/>
          <w:highlight w:val="none"/>
        </w:rPr>
      </w:pPr>
      <w:bookmarkStart w:id="98" w:name="_Toc12018"/>
      <w:bookmarkStart w:id="99" w:name="_Toc80886934"/>
      <w:bookmarkStart w:id="100" w:name="_Toc17745"/>
    </w:p>
    <w:p>
      <w:pPr>
        <w:pStyle w:val="5"/>
        <w:spacing w:before="0" w:after="0" w:line="360" w:lineRule="auto"/>
        <w:ind w:firstLine="480" w:firstLineChars="150"/>
        <w:rPr>
          <w:b w:val="0"/>
          <w:bCs w:val="0"/>
          <w:color w:val="auto"/>
          <w:highlight w:val="none"/>
        </w:rPr>
      </w:pPr>
      <w:r>
        <w:rPr>
          <w:rFonts w:hint="eastAsia"/>
          <w:b w:val="0"/>
          <w:bCs w:val="0"/>
          <w:color w:val="auto"/>
          <w:highlight w:val="none"/>
        </w:rPr>
        <w:t>五、成交及合同</w:t>
      </w:r>
      <w:bookmarkEnd w:id="98"/>
      <w:bookmarkEnd w:id="99"/>
      <w:bookmarkEnd w:id="100"/>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27.5排名第一的成交候选人放弃成交，采购人可以按照评审报告推荐的成交候选人名单排序，依法确定下一候选人为成交</w:t>
      </w:r>
      <w:r>
        <w:rPr>
          <w:rFonts w:hint="eastAsia" w:ascii="宋体" w:hAnsi="宋体" w:cs="宋体"/>
          <w:color w:val="auto"/>
          <w:szCs w:val="21"/>
          <w:highlight w:val="none"/>
        </w:rPr>
        <w:t>供应商</w:t>
      </w:r>
      <w:r>
        <w:rPr>
          <w:rFonts w:hint="eastAsia" w:ascii="宋体" w:hAnsi="宋体" w:cs="宋体"/>
          <w:bCs/>
          <w:color w:val="auto"/>
          <w:szCs w:val="21"/>
          <w:highlight w:val="none"/>
        </w:rPr>
        <w:t>，也可以重新开展政府采购活动</w:t>
      </w:r>
      <w:r>
        <w:rPr>
          <w:rFonts w:hint="eastAsia" w:ascii="宋体" w:hAnsi="宋体" w:cs="宋体"/>
          <w:color w:val="auto"/>
          <w:szCs w:val="21"/>
          <w:highlight w:val="none"/>
        </w:rPr>
        <w:t>。</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6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color w:val="auto"/>
          <w:szCs w:val="21"/>
          <w:highlight w:val="none"/>
        </w:rPr>
      </w:pPr>
      <w:r>
        <w:rPr>
          <w:rFonts w:hint="eastAsia" w:ascii="宋体" w:hAnsi="宋体" w:cs="宋体"/>
          <w:color w:val="auto"/>
          <w:szCs w:val="21"/>
          <w:highlight w:val="none"/>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1" w:firstLineChars="200"/>
        <w:rPr>
          <w:rFonts w:ascii="宋体" w:hAnsi="宋体" w:cs="宋体"/>
          <w:color w:val="auto"/>
          <w:highlight w:val="none"/>
        </w:rPr>
      </w:pPr>
      <w:r>
        <w:rPr>
          <w:rFonts w:hint="eastAsia" w:ascii="宋体" w:hAnsi="宋体" w:cs="宋体"/>
          <w:b/>
          <w:bCs/>
          <w:color w:val="auto"/>
          <w:highlight w:val="none"/>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1" w:firstLineChars="200"/>
        <w:rPr>
          <w:rFonts w:ascii="宋体" w:hAnsi="宋体" w:cs="宋体"/>
          <w:color w:val="auto"/>
          <w:highlight w:val="none"/>
        </w:rPr>
      </w:pPr>
      <w:r>
        <w:rPr>
          <w:rFonts w:hint="eastAsia" w:ascii="宋体" w:hAnsi="宋体" w:cs="宋体"/>
          <w:b/>
          <w:bCs/>
          <w:color w:val="auto"/>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bookmarkStart w:id="101" w:name="_Toc80205930"/>
    </w:p>
    <w:p>
      <w:pPr>
        <w:pStyle w:val="5"/>
        <w:spacing w:before="0" w:after="0" w:line="360" w:lineRule="auto"/>
        <w:ind w:firstLine="314" w:firstLineChars="98"/>
        <w:rPr>
          <w:color w:val="auto"/>
          <w:highlight w:val="none"/>
        </w:rPr>
      </w:pPr>
      <w:bookmarkStart w:id="102" w:name="_Toc80886935"/>
      <w:bookmarkStart w:id="103" w:name="_Toc9275"/>
      <w:bookmarkStart w:id="104" w:name="_Toc26989"/>
    </w:p>
    <w:p>
      <w:pPr>
        <w:pStyle w:val="5"/>
        <w:spacing w:before="0" w:after="0" w:line="360" w:lineRule="auto"/>
        <w:ind w:firstLine="313" w:firstLineChars="98"/>
        <w:rPr>
          <w:b w:val="0"/>
          <w:color w:val="auto"/>
          <w:highlight w:val="none"/>
        </w:rPr>
      </w:pPr>
      <w:r>
        <w:rPr>
          <w:rFonts w:hint="eastAsia"/>
          <w:b w:val="0"/>
          <w:bCs w:val="0"/>
          <w:color w:val="auto"/>
          <w:highlight w:val="none"/>
        </w:rPr>
        <w:t>六</w:t>
      </w:r>
      <w:r>
        <w:rPr>
          <w:rFonts w:hint="eastAsia"/>
          <w:b w:val="0"/>
          <w:color w:val="auto"/>
          <w:highlight w:val="none"/>
        </w:rPr>
        <w:t>、验收</w:t>
      </w:r>
      <w:bookmarkEnd w:id="101"/>
      <w:bookmarkEnd w:id="102"/>
      <w:bookmarkEnd w:id="103"/>
      <w:bookmarkEnd w:id="104"/>
    </w:p>
    <w:p>
      <w:pPr>
        <w:tabs>
          <w:tab w:val="left" w:pos="0"/>
        </w:tabs>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ascii="宋体" w:hAnsi="宋体" w:cs="宋体"/>
          <w:color w:val="auto"/>
          <w:kern w:val="0"/>
          <w:szCs w:val="21"/>
          <w:highlight w:val="none"/>
        </w:rPr>
        <w:t>返还条件挂钩。履约验收的各项资料应当存档备查。</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b w:val="0"/>
          <w:bCs w:val="0"/>
          <w:color w:val="auto"/>
          <w:highlight w:val="none"/>
        </w:rPr>
      </w:pPr>
      <w:bookmarkStart w:id="105" w:name="_Toc80886936"/>
      <w:bookmarkStart w:id="106" w:name="_Toc10913"/>
      <w:bookmarkStart w:id="107" w:name="_Toc1170"/>
    </w:p>
    <w:p>
      <w:pPr>
        <w:pStyle w:val="5"/>
        <w:spacing w:before="0" w:after="0" w:line="360" w:lineRule="auto"/>
        <w:ind w:firstLine="320" w:firstLineChars="100"/>
        <w:rPr>
          <w:b w:val="0"/>
          <w:bCs w:val="0"/>
          <w:color w:val="auto"/>
          <w:highlight w:val="none"/>
        </w:rPr>
      </w:pPr>
      <w:r>
        <w:rPr>
          <w:rFonts w:hint="eastAsia"/>
          <w:b w:val="0"/>
          <w:bCs w:val="0"/>
          <w:color w:val="auto"/>
          <w:highlight w:val="none"/>
        </w:rPr>
        <w:t>七、其他事项</w:t>
      </w:r>
      <w:bookmarkEnd w:id="105"/>
      <w:bookmarkEnd w:id="106"/>
      <w:bookmarkEnd w:id="107"/>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3.采购代理服务费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采购代理服务费收费标准及缴费账户详见“供应商须知前附表”，供应商为联合体的，可以由联合体中的一方或者多方共同缴纳采购代理服务费。</w:t>
      </w:r>
    </w:p>
    <w:p>
      <w:pPr>
        <w:pStyle w:val="2"/>
        <w:ind w:firstLine="420" w:firstLineChars="200"/>
        <w:rPr>
          <w:rFonts w:ascii="宋体" w:hAnsi="宋体" w:cs="宋体"/>
          <w:color w:val="auto"/>
          <w:highlight w:val="none"/>
        </w:rPr>
      </w:pPr>
      <w:r>
        <w:rPr>
          <w:rFonts w:hint="eastAsia" w:ascii="宋体" w:hAnsi="宋体" w:cs="宋体"/>
          <w:color w:val="auto"/>
          <w:szCs w:val="21"/>
          <w:highlight w:val="none"/>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例如：本项目预算金额为1</w:t>
      </w:r>
      <w:r>
        <w:rPr>
          <w:rFonts w:hint="eastAsia" w:ascii="宋体" w:hAnsi="宋体" w:cs="宋体"/>
          <w:color w:val="auto"/>
          <w:highlight w:val="none"/>
          <w:lang w:val="en-US" w:eastAsia="zh-CN"/>
        </w:rPr>
        <w:t>00</w:t>
      </w:r>
      <w:r>
        <w:rPr>
          <w:rFonts w:hint="eastAsia" w:ascii="宋体" w:hAnsi="宋体" w:cs="宋体"/>
          <w:color w:val="auto"/>
          <w:highlight w:val="none"/>
        </w:rPr>
        <w:t>万元，计算采购代理收费额如下：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pPr>
        <w:spacing w:line="24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3"/>
        <w:spacing w:line="240" w:lineRule="auto"/>
        <w:jc w:val="center"/>
        <w:rPr>
          <w:rFonts w:ascii="Calibri" w:hAnsi="Calibri"/>
          <w:color w:val="auto"/>
          <w:highlight w:val="none"/>
        </w:rPr>
      </w:pPr>
      <w:bookmarkStart w:id="108" w:name="_Toc80886937"/>
      <w:bookmarkStart w:id="109" w:name="_Toc1088"/>
      <w:bookmarkStart w:id="110" w:name="_Toc3976"/>
      <w:bookmarkStart w:id="111" w:name="_Toc8412"/>
      <w:bookmarkStart w:id="112" w:name="_Toc28979"/>
      <w:bookmarkStart w:id="113" w:name="_Toc3879"/>
      <w:bookmarkStart w:id="114" w:name="_Toc8593"/>
      <w:bookmarkStart w:id="115" w:name="_Toc17511"/>
      <w:r>
        <w:rPr>
          <w:rFonts w:hint="eastAsia" w:ascii="Calibri" w:hAnsi="Calibri"/>
          <w:color w:val="auto"/>
          <w:highlight w:val="none"/>
        </w:rPr>
        <w:t>第四章  评审程序、评审方法和评审标准</w:t>
      </w:r>
      <w:bookmarkEnd w:id="108"/>
      <w:bookmarkEnd w:id="109"/>
      <w:bookmarkEnd w:id="110"/>
      <w:bookmarkEnd w:id="111"/>
      <w:bookmarkEnd w:id="112"/>
      <w:bookmarkEnd w:id="113"/>
      <w:bookmarkEnd w:id="114"/>
      <w:bookmarkEnd w:id="115"/>
    </w:p>
    <w:p>
      <w:pPr>
        <w:pStyle w:val="4"/>
        <w:jc w:val="center"/>
        <w:rPr>
          <w:rFonts w:ascii="宋体" w:hAnsi="宋体"/>
          <w:b w:val="0"/>
          <w:color w:val="auto"/>
          <w:highlight w:val="none"/>
        </w:rPr>
      </w:pPr>
      <w:bookmarkStart w:id="116" w:name="_Toc17424"/>
      <w:bookmarkStart w:id="117" w:name="_Toc80886938"/>
      <w:bookmarkStart w:id="118" w:name="_Toc11607"/>
      <w:r>
        <w:rPr>
          <w:rFonts w:hint="eastAsia" w:ascii="宋体" w:hAnsi="宋体"/>
          <w:b w:val="0"/>
          <w:color w:val="auto"/>
          <w:highlight w:val="none"/>
        </w:rPr>
        <w:t>第一节 评审程序和评审方法</w:t>
      </w:r>
      <w:bookmarkEnd w:id="116"/>
      <w:bookmarkEnd w:id="117"/>
      <w:bookmarkEnd w:id="118"/>
    </w:p>
    <w:p>
      <w:pPr>
        <w:spacing w:line="360" w:lineRule="auto"/>
        <w:ind w:firstLine="481"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pPr>
        <w:spacing w:line="360" w:lineRule="auto"/>
        <w:ind w:firstLine="420" w:firstLineChars="200"/>
        <w:rPr>
          <w:rFonts w:cs="宋体"/>
          <w:color w:val="auto"/>
          <w:szCs w:val="21"/>
          <w:highlight w:val="none"/>
        </w:rPr>
      </w:pPr>
      <w:r>
        <w:rPr>
          <w:rFonts w:hint="eastAsia" w:cs="宋体"/>
          <w:color w:val="auto"/>
          <w:szCs w:val="21"/>
          <w:highlight w:val="none"/>
        </w:rPr>
        <w:t>由磋商小组确认磋商文件。</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hint="eastAsia" w:ascii="宋体" w:hAnsi="宋体" w:cs="宋体"/>
          <w:color w:val="auto"/>
          <w:highlight w:val="none"/>
          <w:u w:val="none"/>
        </w:rPr>
        <w:t>www.creditchina.gov.cn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hint="eastAsia" w:ascii="宋体" w:hAnsi="宋体" w:cs="宋体"/>
          <w:color w:val="auto"/>
          <w:highlight w:val="none"/>
          <w:u w:val="none"/>
        </w:rPr>
        <w:t>www.ccgp.gov.cn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bookmarkStart w:id="11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1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1"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（1）响应文件中响应报价表内容与响应文件中相应内容不一致的，以响应报价表为准；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（3）单价金额小数点或者百分比有明显错位的，以响应报价表的总价为准，并修改单价；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pPr>
        <w:spacing w:line="360" w:lineRule="auto"/>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pPr>
        <w:pStyle w:val="2"/>
        <w:ind w:firstLine="420" w:firstLineChars="200"/>
        <w:rPr>
          <w:rFonts w:ascii="宋体" w:hAnsi="宋体" w:cs="宋体"/>
          <w:color w:val="auto"/>
          <w:highlight w:val="none"/>
        </w:rPr>
      </w:pPr>
      <w:r>
        <w:rPr>
          <w:rFonts w:hint="eastAsia" w:ascii="宋体" w:hAnsi="宋体" w:cs="宋体"/>
          <w:color w:val="auto"/>
          <w:szCs w:val="21"/>
          <w:highlight w:val="none"/>
        </w:rPr>
        <w:t>15）提交的磋商保证金无效的或者未按照磋商文件的规定提交磋商保证金；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1"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4.6磋商小组应对磋商过程和重要磋商内容进行记录，作为评审报告一部分，磋商小组在记录上签字确认。</w:t>
      </w:r>
      <w:r>
        <w:rPr>
          <w:rFonts w:hint="eastAsia" w:ascii="宋体" w:hAnsi="宋体" w:cs="宋体"/>
          <w:b/>
          <w:color w:val="auto"/>
          <w:highlight w:val="none"/>
        </w:rPr>
        <w:t>主要内容包括：</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pPr>
        <w:pStyle w:val="6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5.5供应商未在规定时间内提交最后报价的，视同退出磋商，其响应文件按无效处理。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5.8修正后的最后报价出现下列情形的，按无效响应处理：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pPr>
        <w:pStyle w:val="22"/>
        <w:spacing w:line="360" w:lineRule="auto"/>
        <w:ind w:firstLine="421" w:firstLineChars="200"/>
        <w:rPr>
          <w:color w:val="auto"/>
          <w:highlight w:val="none"/>
        </w:rPr>
      </w:pPr>
      <w:r>
        <w:rPr>
          <w:rFonts w:hint="eastAsia" w:ascii="宋体" w:hAnsi="宋体" w:cs="宋体"/>
          <w:b/>
          <w:bCs/>
          <w:color w:val="auto"/>
          <w:sz w:val="21"/>
          <w:szCs w:val="21"/>
          <w:highlight w:val="none"/>
        </w:rPr>
        <w:t>注：</w:t>
      </w:r>
      <w:r>
        <w:rPr>
          <w:rFonts w:hint="eastAsia"/>
          <w:b/>
          <w:bCs/>
          <w:color w:val="auto"/>
          <w:sz w:val="21"/>
          <w:szCs w:val="21"/>
          <w:highlight w:val="none"/>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highlight w:val="none"/>
          <w:lang w:val="zh-CN"/>
        </w:rPr>
        <w:t>。</w:t>
      </w:r>
    </w:p>
    <w:p>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pPr>
        <w:pStyle w:val="2"/>
        <w:spacing w:line="360" w:lineRule="auto"/>
        <w:ind w:firstLine="420" w:firstLineChars="200"/>
        <w:rPr>
          <w:rFonts w:ascii="宋体" w:hAnsi="宋体" w:cs="宋体"/>
          <w:color w:val="auto"/>
          <w:highlight w:val="none"/>
        </w:rPr>
      </w:pPr>
      <w:r>
        <w:rPr>
          <w:rFonts w:hint="eastAsia" w:ascii="宋体" w:hAnsi="宋体" w:cs="宋体"/>
          <w:color w:val="auto"/>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w:t>
      </w:r>
      <w:r>
        <w:rPr>
          <w:rFonts w:hint="eastAsia" w:ascii="宋体" w:hAnsi="宋体" w:cs="宋体"/>
          <w:color w:val="auto"/>
          <w:highlight w:val="none"/>
        </w:rPr>
        <w:t>报价</w:t>
      </w:r>
      <w:r>
        <w:rPr>
          <w:rFonts w:hint="eastAsia" w:ascii="宋体" w:hAnsi="宋体" w:cs="宋体"/>
          <w:color w:val="auto"/>
          <w:szCs w:val="21"/>
          <w:highlight w:val="none"/>
        </w:rPr>
        <w:t>为供应商的最后报价进行政策性扣除后的价格，评审</w:t>
      </w:r>
      <w:r>
        <w:rPr>
          <w:rFonts w:hint="eastAsia" w:ascii="宋体" w:hAnsi="宋体" w:cs="宋体"/>
          <w:color w:val="auto"/>
          <w:highlight w:val="none"/>
        </w:rPr>
        <w:t>报价</w:t>
      </w:r>
      <w:r>
        <w:rPr>
          <w:rFonts w:hint="eastAsia" w:ascii="宋体" w:hAnsi="宋体" w:cs="宋体"/>
          <w:color w:val="auto"/>
          <w:szCs w:val="21"/>
          <w:highlight w:val="none"/>
        </w:rPr>
        <w:t>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审报告。符合本章第5.3条情形的，可以推荐2家成交候选供应商。评审得分相同的，</w:t>
      </w:r>
      <w:r>
        <w:rPr>
          <w:rFonts w:hint="eastAsia" w:ascii="宋体" w:hAnsi="宋体" w:cs="宋体"/>
          <w:bCs/>
          <w:color w:val="auto"/>
          <w:szCs w:val="21"/>
          <w:highlight w:val="none"/>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41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ascii="宋体" w:hAnsi="宋体" w:cs="宋体"/>
                <w:color w:val="auto"/>
                <w:highlight w:val="none"/>
              </w:rPr>
            </w:pPr>
            <w:bookmarkStart w:id="120" w:name="_Toc80205935"/>
            <w:r>
              <w:rPr>
                <w:rFonts w:hint="eastAsia" w:ascii="宋体" w:hAnsi="宋体" w:cs="宋体"/>
                <w:color w:val="auto"/>
                <w:highlight w:val="none"/>
              </w:rPr>
              <w:t>序号</w:t>
            </w:r>
          </w:p>
        </w:tc>
        <w:tc>
          <w:tcPr>
            <w:tcW w:w="959" w:type="dxa"/>
            <w:vAlign w:val="center"/>
          </w:tcPr>
          <w:p>
            <w:pPr>
              <w:jc w:val="center"/>
              <w:rPr>
                <w:rFonts w:ascii="宋体" w:hAnsi="宋体" w:cs="宋体"/>
                <w:color w:val="auto"/>
                <w:highlight w:val="none"/>
              </w:rPr>
            </w:pPr>
            <w:r>
              <w:rPr>
                <w:rFonts w:hint="eastAsia" w:ascii="宋体" w:hAnsi="宋体" w:cs="宋体"/>
                <w:color w:val="auto"/>
                <w:highlight w:val="none"/>
              </w:rPr>
              <w:t>评分类型</w:t>
            </w:r>
          </w:p>
        </w:tc>
        <w:tc>
          <w:tcPr>
            <w:tcW w:w="7419" w:type="dxa"/>
            <w:vAlign w:val="center"/>
          </w:tcPr>
          <w:p>
            <w:pPr>
              <w:jc w:val="center"/>
              <w:rPr>
                <w:rFonts w:ascii="宋体" w:hAnsi="宋体" w:cs="宋体"/>
                <w:color w:val="auto"/>
                <w:highlight w:val="none"/>
              </w:rPr>
            </w:pPr>
            <w:r>
              <w:rPr>
                <w:rFonts w:hint="eastAsia" w:ascii="宋体" w:hAnsi="宋体" w:cs="宋体"/>
                <w:color w:val="auto"/>
                <w:highlight w:val="none"/>
              </w:rPr>
              <w:t>评分标准</w:t>
            </w:r>
          </w:p>
        </w:tc>
        <w:tc>
          <w:tcPr>
            <w:tcW w:w="934" w:type="dxa"/>
            <w:vAlign w:val="center"/>
          </w:tcPr>
          <w:p>
            <w:pPr>
              <w:jc w:val="center"/>
              <w:rPr>
                <w:rFonts w:ascii="宋体" w:hAnsi="宋体" w:cs="宋体"/>
                <w:color w:val="auto"/>
                <w:highlight w:val="none"/>
              </w:rPr>
            </w:pPr>
            <w:r>
              <w:rPr>
                <w:rFonts w:hint="eastAsia" w:ascii="宋体" w:hAnsi="宋体" w:cs="宋体"/>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p>
        </w:tc>
        <w:tc>
          <w:tcPr>
            <w:tcW w:w="959" w:type="dxa"/>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报价</w:t>
            </w:r>
          </w:p>
        </w:tc>
        <w:tc>
          <w:tcPr>
            <w:tcW w:w="7419" w:type="dxa"/>
            <w:vAlign w:val="center"/>
          </w:tcPr>
          <w:p>
            <w:pPr>
              <w:jc w:val="left"/>
              <w:rPr>
                <w:rFonts w:ascii="宋体" w:hAnsi="宋体" w:cs="宋体"/>
                <w:color w:val="auto"/>
                <w:highlight w:val="none"/>
              </w:rPr>
            </w:pPr>
            <w:r>
              <w:rPr>
                <w:rFonts w:hint="eastAsia" w:ascii="宋体" w:hAnsi="宋体" w:cs="宋体"/>
                <w:color w:val="auto"/>
                <w:highlight w:val="none"/>
              </w:rPr>
              <w:t>1.本项目为专门面向中小企业采购的项目，按照《政府采购促进中小企业发展管理办法》（财库〔2020〕46号）的规定，对供应商最后报价不再执行价格评审优惠的扶持政策。</w:t>
            </w:r>
          </w:p>
          <w:p>
            <w:pPr>
              <w:jc w:val="left"/>
              <w:rPr>
                <w:rFonts w:ascii="宋体" w:hAnsi="宋体" w:cs="宋体"/>
                <w:color w:val="auto"/>
                <w:highlight w:val="none"/>
              </w:rPr>
            </w:pPr>
            <w:r>
              <w:rPr>
                <w:rFonts w:hint="eastAsia" w:ascii="宋体" w:hAnsi="宋体" w:cs="宋体"/>
                <w:color w:val="auto"/>
                <w:highlight w:val="none"/>
              </w:rPr>
              <w:t>2.评审报价为供应商的最后报价，评审报价只是作为评审时使用。最终成交供应商的成交金额等于最后报价（如有修正，以确认修正后的最后报价为准）。</w:t>
            </w:r>
          </w:p>
          <w:p>
            <w:pPr>
              <w:jc w:val="left"/>
              <w:rPr>
                <w:rFonts w:ascii="宋体" w:hAnsi="宋体" w:cs="宋体"/>
                <w:color w:val="auto"/>
                <w:highlight w:val="none"/>
              </w:rPr>
            </w:pPr>
            <w:r>
              <w:rPr>
                <w:rFonts w:hint="eastAsia" w:ascii="宋体" w:hAnsi="宋体" w:cs="宋体"/>
                <w:color w:val="auto"/>
                <w:highlight w:val="none"/>
              </w:rPr>
              <w:t>3.以进入比较与评价环节的最低的评审报价为基准价，基准价得分为</w:t>
            </w:r>
            <w:r>
              <w:rPr>
                <w:rFonts w:hint="eastAsia" w:ascii="宋体" w:hAnsi="宋体" w:cs="宋体"/>
                <w:color w:val="auto"/>
                <w:highlight w:val="none"/>
                <w:lang w:val="en-US" w:eastAsia="zh-CN"/>
              </w:rPr>
              <w:t>1</w:t>
            </w:r>
            <w:r>
              <w:rPr>
                <w:rFonts w:hint="eastAsia" w:ascii="宋体" w:hAnsi="宋体" w:cs="宋体"/>
                <w:color w:val="auto"/>
                <w:highlight w:val="none"/>
              </w:rPr>
              <w:t>0分。</w:t>
            </w:r>
          </w:p>
          <w:p>
            <w:pPr>
              <w:jc w:val="left"/>
              <w:rPr>
                <w:rFonts w:ascii="宋体" w:hAnsi="宋体" w:cs="宋体"/>
                <w:color w:val="auto"/>
                <w:highlight w:val="none"/>
              </w:rPr>
            </w:pPr>
            <w:r>
              <w:rPr>
                <w:rFonts w:hint="eastAsia" w:ascii="宋体" w:hAnsi="宋体" w:cs="宋体"/>
                <w:color w:val="auto"/>
                <w:highlight w:val="none"/>
              </w:rPr>
              <w:t>4.价格分计算公式：</w:t>
            </w:r>
          </w:p>
          <w:p>
            <w:pPr>
              <w:jc w:val="left"/>
              <w:rPr>
                <w:rFonts w:ascii="宋体" w:hAnsi="宋体" w:cs="宋体"/>
                <w:color w:val="auto"/>
                <w:highlight w:val="none"/>
              </w:rPr>
            </w:pPr>
            <w:r>
              <w:rPr>
                <w:rFonts w:hint="eastAsia" w:ascii="宋体" w:hAnsi="宋体" w:cs="宋体"/>
                <w:color w:val="auto"/>
                <w:highlight w:val="none"/>
              </w:rPr>
              <w:t>报价得分=（基准价/评审报价）×</w:t>
            </w:r>
            <w:r>
              <w:rPr>
                <w:rFonts w:hint="eastAsia" w:ascii="宋体" w:hAnsi="宋体" w:cs="宋体"/>
                <w:color w:val="auto"/>
                <w:highlight w:val="none"/>
                <w:lang w:val="en-US" w:eastAsia="zh-CN"/>
              </w:rPr>
              <w:t>1</w:t>
            </w:r>
            <w:r>
              <w:rPr>
                <w:rFonts w:hint="eastAsia" w:ascii="宋体" w:hAnsi="宋体" w:cs="宋体"/>
                <w:color w:val="auto"/>
                <w:highlight w:val="none"/>
              </w:rPr>
              <w:t>0分</w:t>
            </w:r>
          </w:p>
        </w:tc>
        <w:tc>
          <w:tcPr>
            <w:tcW w:w="934" w:type="dxa"/>
            <w:vAlign w:val="center"/>
          </w:tcPr>
          <w:p>
            <w:pPr>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959" w:type="dxa"/>
            <w:vMerge w:val="restart"/>
            <w:vAlign w:val="center"/>
          </w:tcPr>
          <w:p>
            <w:pPr>
              <w:jc w:val="center"/>
              <w:rPr>
                <w:rFonts w:hint="eastAsia" w:ascii="宋体" w:hAnsi="宋体" w:cs="宋体"/>
                <w:color w:val="auto"/>
                <w:highlight w:val="none"/>
              </w:rPr>
            </w:pPr>
            <w:r>
              <w:rPr>
                <w:rFonts w:hint="eastAsia" w:ascii="宋体" w:hAnsi="宋体" w:cs="宋体"/>
                <w:color w:val="auto"/>
                <w:highlight w:val="none"/>
              </w:rPr>
              <w:t>技术</w:t>
            </w:r>
          </w:p>
          <w:p>
            <w:pPr>
              <w:jc w:val="center"/>
              <w:rPr>
                <w:rFonts w:ascii="宋体" w:hAnsi="宋体" w:cs="宋体"/>
                <w:color w:val="auto"/>
                <w:highlight w:val="none"/>
              </w:rPr>
            </w:pPr>
          </w:p>
        </w:tc>
        <w:tc>
          <w:tcPr>
            <w:tcW w:w="7419" w:type="dxa"/>
            <w:vAlign w:val="center"/>
          </w:tcPr>
          <w:p>
            <w:pPr>
              <w:ind w:firstLine="421" w:firstLineChars="200"/>
              <w:jc w:val="left"/>
              <w:rPr>
                <w:rFonts w:hint="default" w:hAnsi="宋体" w:eastAsia="宋体"/>
                <w:b/>
                <w:bCs/>
                <w:color w:val="auto"/>
                <w:sz w:val="21"/>
                <w:highlight w:val="none"/>
                <w:lang w:val="en-US" w:eastAsia="zh-CN"/>
              </w:rPr>
            </w:pPr>
            <w:r>
              <w:rPr>
                <w:rFonts w:hint="eastAsia" w:hAnsi="宋体"/>
                <w:b/>
                <w:bCs/>
                <w:color w:val="auto"/>
                <w:sz w:val="21"/>
                <w:highlight w:val="none"/>
                <w:lang w:val="en-US" w:eastAsia="zh-CN"/>
              </w:rPr>
              <w:t>技术要求响应</w:t>
            </w:r>
          </w:p>
          <w:p>
            <w:pPr>
              <w:ind w:firstLine="420" w:firstLineChars="200"/>
              <w:jc w:val="left"/>
              <w:rPr>
                <w:color w:val="auto"/>
                <w:highlight w:val="none"/>
              </w:rPr>
            </w:pPr>
            <w:r>
              <w:rPr>
                <w:rFonts w:hint="eastAsia" w:hAnsi="宋体"/>
                <w:color w:val="auto"/>
                <w:sz w:val="21"/>
                <w:highlight w:val="none"/>
              </w:rPr>
              <w:t>技术</w:t>
            </w:r>
            <w:r>
              <w:rPr>
                <w:rFonts w:hint="eastAsia" w:hAnsi="宋体"/>
                <w:color w:val="auto"/>
                <w:sz w:val="21"/>
                <w:highlight w:val="none"/>
                <w:lang w:val="en-US" w:eastAsia="zh-CN"/>
              </w:rPr>
              <w:t>要求</w:t>
            </w:r>
            <w:r>
              <w:rPr>
                <w:rFonts w:hint="eastAsia" w:hAnsi="宋体"/>
                <w:color w:val="auto"/>
                <w:sz w:val="21"/>
                <w:highlight w:val="none"/>
              </w:rPr>
              <w:t>能完全满足磋商文件要求</w:t>
            </w:r>
            <w:r>
              <w:rPr>
                <w:rFonts w:hint="eastAsia" w:hAnsi="宋体"/>
                <w:color w:val="auto"/>
                <w:sz w:val="21"/>
                <w:highlight w:val="none"/>
                <w:lang w:eastAsia="zh-CN"/>
              </w:rPr>
              <w:t>（</w:t>
            </w:r>
            <w:r>
              <w:rPr>
                <w:rFonts w:hint="eastAsia" w:hAnsi="宋体"/>
                <w:color w:val="auto"/>
                <w:sz w:val="21"/>
                <w:highlight w:val="none"/>
                <w:lang w:val="en-US" w:eastAsia="zh-CN"/>
              </w:rPr>
              <w:t>共6点</w:t>
            </w:r>
            <w:r>
              <w:rPr>
                <w:rFonts w:hint="eastAsia" w:hAnsi="宋体"/>
                <w:color w:val="auto"/>
                <w:sz w:val="21"/>
                <w:highlight w:val="none"/>
                <w:lang w:eastAsia="zh-CN"/>
              </w:rPr>
              <w:t>）</w:t>
            </w:r>
            <w:r>
              <w:rPr>
                <w:rFonts w:hint="eastAsia" w:hAnsi="宋体"/>
                <w:color w:val="auto"/>
                <w:sz w:val="21"/>
                <w:highlight w:val="none"/>
              </w:rPr>
              <w:t>没有负偏离的得</w:t>
            </w:r>
            <w:r>
              <w:rPr>
                <w:rFonts w:hint="eastAsia" w:hAnsi="宋体"/>
                <w:color w:val="auto"/>
                <w:sz w:val="21"/>
                <w:highlight w:val="none"/>
                <w:lang w:val="en-US" w:eastAsia="zh-CN"/>
              </w:rPr>
              <w:t>12</w:t>
            </w:r>
            <w:r>
              <w:rPr>
                <w:rFonts w:hint="eastAsia" w:hAnsi="宋体"/>
                <w:color w:val="auto"/>
                <w:sz w:val="21"/>
                <w:highlight w:val="none"/>
              </w:rPr>
              <w:t>分。</w:t>
            </w:r>
            <w:r>
              <w:rPr>
                <w:rFonts w:hint="eastAsia" w:hAnsi="宋体"/>
                <w:color w:val="auto"/>
                <w:sz w:val="21"/>
                <w:highlight w:val="none"/>
                <w:lang w:val="en-US" w:eastAsia="zh-CN"/>
              </w:rPr>
              <w:t>每</w:t>
            </w:r>
            <w:r>
              <w:rPr>
                <w:rFonts w:hint="eastAsia" w:hAnsi="宋体"/>
                <w:color w:val="auto"/>
                <w:sz w:val="21"/>
                <w:highlight w:val="none"/>
              </w:rPr>
              <w:t>偏离</w:t>
            </w:r>
            <w:r>
              <w:rPr>
                <w:rFonts w:hint="eastAsia" w:hAnsi="宋体"/>
                <w:color w:val="auto"/>
                <w:sz w:val="21"/>
                <w:highlight w:val="none"/>
                <w:lang w:val="en-US" w:eastAsia="zh-CN"/>
              </w:rPr>
              <w:t>1</w:t>
            </w:r>
            <w:r>
              <w:rPr>
                <w:rFonts w:hint="eastAsia" w:hAnsi="宋体"/>
                <w:color w:val="auto"/>
                <w:sz w:val="21"/>
                <w:highlight w:val="none"/>
              </w:rPr>
              <w:t>项</w:t>
            </w:r>
            <w:r>
              <w:rPr>
                <w:rFonts w:hint="eastAsia" w:hAnsi="宋体"/>
                <w:color w:val="auto"/>
                <w:sz w:val="21"/>
                <w:highlight w:val="none"/>
                <w:lang w:val="en-US" w:eastAsia="zh-CN"/>
              </w:rPr>
              <w:t>扣2</w:t>
            </w:r>
            <w:r>
              <w:rPr>
                <w:rFonts w:hint="eastAsia" w:hAnsi="宋体"/>
                <w:color w:val="auto"/>
                <w:sz w:val="21"/>
                <w:highlight w:val="none"/>
              </w:rPr>
              <w:t>分。</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959" w:type="dxa"/>
            <w:vMerge w:val="continue"/>
            <w:vAlign w:val="center"/>
          </w:tcPr>
          <w:p>
            <w:pPr>
              <w:jc w:val="center"/>
              <w:rPr>
                <w:rFonts w:ascii="宋体" w:hAnsi="宋体" w:cs="宋体"/>
                <w:color w:val="auto"/>
                <w:highlight w:val="none"/>
              </w:rPr>
            </w:pPr>
          </w:p>
        </w:tc>
        <w:tc>
          <w:tcPr>
            <w:tcW w:w="7419" w:type="dxa"/>
            <w:vAlign w:val="center"/>
          </w:tcPr>
          <w:p>
            <w:pPr>
              <w:spacing w:line="400" w:lineRule="exact"/>
              <w:ind w:firstLine="421"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总体</w:t>
            </w:r>
            <w:r>
              <w:rPr>
                <w:rFonts w:hint="eastAsia" w:ascii="宋体" w:hAnsi="宋体" w:cs="宋体"/>
                <w:b/>
                <w:bCs w:val="0"/>
                <w:color w:val="auto"/>
                <w:szCs w:val="21"/>
                <w:highlight w:val="none"/>
                <w:lang w:val="en-US" w:eastAsia="zh-CN"/>
              </w:rPr>
              <w:t>服务</w:t>
            </w:r>
            <w:r>
              <w:rPr>
                <w:rFonts w:hint="eastAsia" w:ascii="宋体" w:hAnsi="宋体" w:eastAsia="宋体" w:cs="宋体"/>
                <w:b/>
                <w:bCs w:val="0"/>
                <w:color w:val="auto"/>
                <w:szCs w:val="21"/>
                <w:highlight w:val="none"/>
              </w:rPr>
              <w:t>方案</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根据本项目制定符合项目实际情况的服务总体方案，包括但不限于对项目的理解和现状分析、对项目研究内容和技术线路分析、项目特征、项目难点与策略分析、项目管理办法及管护制度、拟投入的专业技术人员及设备、项目工作进度安排及保障措施、技术质量保障及措施、售后服务方案、技术培训服务方案、履约能力、应急保证预案及措施、成果及档案管理方案措施等内容的完整性、科学性、合理性、</w:t>
            </w:r>
            <w:r>
              <w:rPr>
                <w:rFonts w:hint="eastAsia" w:ascii="宋体" w:hAnsi="宋体" w:cs="宋体"/>
                <w:bCs/>
                <w:color w:val="auto"/>
                <w:szCs w:val="21"/>
                <w:highlight w:val="none"/>
                <w:lang w:eastAsia="zh-CN"/>
              </w:rPr>
              <w:t>可行性</w:t>
            </w:r>
            <w:r>
              <w:rPr>
                <w:rFonts w:hint="eastAsia" w:ascii="宋体" w:hAnsi="宋体" w:eastAsia="宋体" w:cs="宋体"/>
                <w:bCs/>
                <w:color w:val="auto"/>
                <w:szCs w:val="21"/>
                <w:highlight w:val="none"/>
              </w:rPr>
              <w:t>。</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由评委在打分前根据本项目磋商采购文件的要求及供应商提供的项目服务总体方案的内容独立确定各供应商所属的档次并确定相应分值。</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一档（8分）：提供的项目服务总体方案内容简单，没有切实可行实施办法及措施，</w:t>
            </w:r>
            <w:r>
              <w:rPr>
                <w:rFonts w:hint="eastAsia" w:ascii="宋体" w:hAnsi="宋体" w:cs="宋体"/>
                <w:color w:val="auto"/>
                <w:szCs w:val="21"/>
                <w:highlight w:val="none"/>
              </w:rPr>
              <w:t>不能完全满足采购服务要求</w:t>
            </w:r>
            <w:r>
              <w:rPr>
                <w:rFonts w:hint="eastAsia" w:ascii="宋体" w:hAnsi="宋体" w:eastAsia="宋体" w:cs="宋体"/>
                <w:bCs/>
                <w:color w:val="auto"/>
                <w:szCs w:val="21"/>
                <w:highlight w:val="none"/>
              </w:rPr>
              <w:t>，整体方案缺乏可行性及针对性。</w:t>
            </w:r>
          </w:p>
          <w:p>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二档（16分）：能理解和把握项目的总体要求及服务内容，提供的项目服务总体方案内容基本详细，整体构思良好；</w:t>
            </w:r>
            <w:r>
              <w:rPr>
                <w:rFonts w:hint="eastAsia" w:ascii="宋体" w:hAnsi="宋体" w:cs="宋体"/>
                <w:color w:val="auto"/>
                <w:szCs w:val="21"/>
                <w:highlight w:val="none"/>
              </w:rPr>
              <w:t>技术响应内容完全满足采购服务要求</w:t>
            </w:r>
            <w:r>
              <w:rPr>
                <w:rFonts w:hint="eastAsia" w:ascii="宋体" w:hAnsi="宋体" w:eastAsia="宋体" w:cs="宋体"/>
                <w:bCs/>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eastAsia="宋体" w:cs="宋体"/>
                <w:bCs/>
                <w:color w:val="auto"/>
                <w:szCs w:val="21"/>
                <w:highlight w:val="none"/>
              </w:rPr>
              <w:t>三档（25分）：能够准确理解和把握项目的总体要求及服务内容，提供的项目服务总体方案内容清晰完整，整体构思完整合理，服务方案较全面具体、清晰完整，</w:t>
            </w:r>
            <w:r>
              <w:rPr>
                <w:rFonts w:hint="eastAsia" w:ascii="宋体" w:hAnsi="宋体" w:cs="宋体"/>
                <w:color w:val="auto"/>
                <w:szCs w:val="21"/>
                <w:highlight w:val="none"/>
              </w:rPr>
              <w:t>符合项目实施的特点，服务措施到位、方案可行。</w:t>
            </w:r>
          </w:p>
          <w:p>
            <w:pPr>
              <w:pStyle w:val="22"/>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注：不提供技术服务方案或不满足一档要求的不得分。</w:t>
            </w:r>
          </w:p>
          <w:p>
            <w:pPr>
              <w:jc w:val="left"/>
              <w:rPr>
                <w:rFonts w:ascii="宋体" w:hAnsi="宋体" w:cs="宋体"/>
                <w:color w:val="auto"/>
                <w:highlight w:val="none"/>
              </w:rPr>
            </w:pPr>
            <w:r>
              <w:rPr>
                <w:rFonts w:hint="eastAsia" w:ascii="宋体" w:hAnsi="宋体" w:cs="宋体"/>
                <w:color w:val="auto"/>
                <w:highlight w:val="none"/>
              </w:rPr>
              <w:t>。</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959" w:type="dxa"/>
            <w:vMerge w:val="continue"/>
            <w:vAlign w:val="center"/>
          </w:tcPr>
          <w:p>
            <w:pPr>
              <w:jc w:val="center"/>
              <w:rPr>
                <w:rFonts w:ascii="宋体" w:hAnsi="宋体" w:cs="宋体"/>
                <w:color w:val="auto"/>
                <w:highlight w:val="none"/>
              </w:rPr>
            </w:pPr>
          </w:p>
        </w:tc>
        <w:tc>
          <w:tcPr>
            <w:tcW w:w="7419" w:type="dxa"/>
            <w:vAlign w:val="center"/>
          </w:tcPr>
          <w:p>
            <w:pPr>
              <w:spacing w:line="400" w:lineRule="exact"/>
              <w:ind w:firstLine="425" w:firstLineChars="202"/>
              <w:jc w:val="left"/>
              <w:rPr>
                <w:rFonts w:hint="eastAsia"/>
                <w:b/>
                <w:color w:val="auto"/>
                <w:highlight w:val="none"/>
              </w:rPr>
            </w:pPr>
            <w:r>
              <w:rPr>
                <w:rFonts w:hint="eastAsia"/>
                <w:b/>
                <w:color w:val="auto"/>
                <w:highlight w:val="none"/>
              </w:rPr>
              <w:t>组织管理方案</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组织管理方案应包括单位内部岗位责任制度、管理制度及标准。由评审专家及采购人代表根据供应商响应情况进行独立打分。</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一档（8分）：组织管理方案简单，单位内部岗位责任制度、管理制度及标准简单，基本能保障项目实现；</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二档（16分）：组织管理方案合理、可行，单位内部岗位责任制度、管理制度及标准内容较完整，能保障项目实现；</w:t>
            </w:r>
          </w:p>
          <w:p>
            <w:pPr>
              <w:spacing w:line="400" w:lineRule="exact"/>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三档（25分）：组织管理方案内容完整、齐全，单位内部岗位责任制度、管理制度及标准详尽可行，有具体措施能完全保障项目实现。</w:t>
            </w:r>
          </w:p>
          <w:p>
            <w:pPr>
              <w:spacing w:line="400" w:lineRule="exact"/>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注：不提供组织管理方案或组织管理方案不满足一档要求的不得分。</w:t>
            </w:r>
          </w:p>
          <w:p>
            <w:pPr>
              <w:jc w:val="left"/>
              <w:rPr>
                <w:rFonts w:ascii="宋体" w:hAnsi="宋体" w:cs="宋体"/>
                <w:color w:val="auto"/>
                <w:highlight w:val="none"/>
              </w:rPr>
            </w:pP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2"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959" w:type="dxa"/>
            <w:vMerge w:val="restart"/>
            <w:vAlign w:val="center"/>
          </w:tcPr>
          <w:p>
            <w:pPr>
              <w:jc w:val="center"/>
              <w:rPr>
                <w:rFonts w:hint="eastAsia" w:ascii="宋体" w:hAnsi="宋体" w:cs="宋体"/>
                <w:color w:val="auto"/>
                <w:highlight w:val="none"/>
              </w:rPr>
            </w:pPr>
            <w:r>
              <w:rPr>
                <w:rFonts w:hint="eastAsia" w:ascii="宋体" w:hAnsi="宋体" w:cs="宋体"/>
                <w:color w:val="auto"/>
                <w:highlight w:val="none"/>
              </w:rPr>
              <w:t>商务</w:t>
            </w:r>
          </w:p>
          <w:p>
            <w:pPr>
              <w:jc w:val="center"/>
              <w:rPr>
                <w:rFonts w:ascii="宋体" w:hAnsi="宋体" w:cs="宋体"/>
                <w:color w:val="auto"/>
                <w:highlight w:val="none"/>
              </w:rPr>
            </w:pPr>
          </w:p>
        </w:tc>
        <w:tc>
          <w:tcPr>
            <w:tcW w:w="7419" w:type="dxa"/>
            <w:vAlign w:val="center"/>
          </w:tcPr>
          <w:p>
            <w:pPr>
              <w:ind w:firstLine="421"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投标人管理体系认证</w:t>
            </w:r>
          </w:p>
          <w:p>
            <w:pPr>
              <w:ind w:firstLine="420" w:firstLineChars="200"/>
              <w:jc w:val="left"/>
              <w:rPr>
                <w:rFonts w:ascii="宋体" w:hAnsi="宋体" w:cs="宋体"/>
                <w:color w:val="auto"/>
                <w:highlight w:val="none"/>
              </w:rPr>
            </w:pPr>
            <w:r>
              <w:rPr>
                <w:rFonts w:hint="eastAsia" w:ascii="宋体" w:hAnsi="宋体" w:cs="宋体"/>
                <w:color w:val="auto"/>
                <w:szCs w:val="21"/>
                <w:highlight w:val="none"/>
              </w:rPr>
              <w:t>投标人具备国家认证认可监督管理委员会认定机构认证的ISO9001质量管理体系认证得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分、ISO45001职业健康安全管理体系认证</w:t>
            </w:r>
            <w:bookmarkStart w:id="121" w:name="_Hlk185860918"/>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bookmarkEnd w:id="121"/>
            <w:r>
              <w:rPr>
                <w:rFonts w:hint="eastAsia" w:ascii="宋体" w:hAnsi="宋体" w:cs="宋体"/>
                <w:color w:val="auto"/>
                <w:szCs w:val="21"/>
                <w:highlight w:val="none"/>
              </w:rPr>
              <w:t>、ISO14001环境管理体系认证证书得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分。（提供相应的证书复印件，不提供不得分）</w:t>
            </w:r>
          </w:p>
        </w:tc>
        <w:tc>
          <w:tcPr>
            <w:tcW w:w="934"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959" w:type="dxa"/>
            <w:vMerge w:val="continue"/>
            <w:vAlign w:val="center"/>
          </w:tcPr>
          <w:p>
            <w:pPr>
              <w:jc w:val="center"/>
              <w:rPr>
                <w:rFonts w:ascii="宋体" w:hAnsi="宋体" w:cs="宋体"/>
                <w:color w:val="auto"/>
                <w:highlight w:val="none"/>
              </w:rPr>
            </w:pPr>
          </w:p>
        </w:tc>
        <w:tc>
          <w:tcPr>
            <w:tcW w:w="7419" w:type="dxa"/>
            <w:vAlign w:val="center"/>
          </w:tcPr>
          <w:p>
            <w:pPr>
              <w:widowControl/>
              <w:spacing w:line="400" w:lineRule="exact"/>
              <w:ind w:firstLine="421" w:firstLineChars="200"/>
              <w:jc w:val="left"/>
              <w:outlineLvl w:val="3"/>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人员配置情况分</w:t>
            </w:r>
          </w:p>
          <w:p>
            <w:pPr>
              <w:spacing w:line="400" w:lineRule="exact"/>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（1）拟投入项目负责人具有林业</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rPr>
              <w:t>或经济类相关专业高级及以上职称的，得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不提供不得分。</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技术负责人：具有林业类高级职称得5分，具有林业类中级职称得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分，不提供不得分，本项最高可得5分； </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其他人员（项目负责人和技术负责人除外）：具有林业类中级职称得1.5分，具有林业类初级职称得1分，不提供不得分，本项最高可得5分； </w:t>
            </w:r>
          </w:p>
          <w:p>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注：以上人员提供职称证书复印件加盖单位公章， 还需提供</w:t>
            </w:r>
            <w:r>
              <w:rPr>
                <w:rFonts w:hint="eastAsia" w:ascii="宋体" w:hAnsi="宋体" w:cs="宋体"/>
                <w:color w:val="auto"/>
                <w:szCs w:val="21"/>
                <w:highlight w:val="none"/>
                <w:lang w:val="en-US" w:eastAsia="zh-CN"/>
              </w:rPr>
              <w:t>至投标截止之日前近6个月任意一个月</w:t>
            </w:r>
            <w:r>
              <w:rPr>
                <w:rFonts w:hint="eastAsia" w:ascii="宋体" w:hAnsi="宋体" w:eastAsia="宋体" w:cs="宋体"/>
                <w:color w:val="auto"/>
                <w:szCs w:val="21"/>
                <w:highlight w:val="none"/>
              </w:rPr>
              <w:t>社保复印件或聘用合同复印件加盖公章。</w:t>
            </w:r>
          </w:p>
          <w:p>
            <w:pPr>
              <w:jc w:val="left"/>
              <w:rPr>
                <w:rFonts w:ascii="宋体" w:hAnsi="宋体" w:cs="宋体"/>
                <w:color w:val="auto"/>
                <w:highlight w:val="none"/>
              </w:rPr>
            </w:pP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959" w:type="dxa"/>
            <w:vMerge w:val="continue"/>
            <w:vAlign w:val="center"/>
          </w:tcPr>
          <w:p>
            <w:pPr>
              <w:jc w:val="center"/>
              <w:rPr>
                <w:rFonts w:ascii="宋体" w:hAnsi="宋体" w:cs="宋体"/>
                <w:color w:val="auto"/>
                <w:highlight w:val="none"/>
              </w:rPr>
            </w:pPr>
          </w:p>
        </w:tc>
        <w:tc>
          <w:tcPr>
            <w:tcW w:w="7419" w:type="dxa"/>
            <w:vAlign w:val="center"/>
          </w:tcPr>
          <w:p>
            <w:pPr>
              <w:jc w:val="left"/>
              <w:rPr>
                <w:rFonts w:ascii="宋体" w:hAnsi="宋体" w:cs="宋体"/>
                <w:color w:val="auto"/>
                <w:highlight w:val="none"/>
              </w:rPr>
            </w:pPr>
            <w:r>
              <w:rPr>
                <w:rFonts w:hint="eastAsia" w:ascii="宋体" w:hAnsi="宋体" w:cs="宋体"/>
                <w:color w:val="auto"/>
                <w:highlight w:val="none"/>
              </w:rPr>
              <w:t>供应商自2022年1月1日以来具有与本次采购内容有关的</w:t>
            </w:r>
            <w:r>
              <w:rPr>
                <w:rFonts w:hint="eastAsia" w:ascii="宋体" w:hAnsi="宋体" w:cs="宋体"/>
                <w:color w:val="auto"/>
                <w:highlight w:val="none"/>
                <w:lang w:val="en-US" w:eastAsia="zh-CN"/>
              </w:rPr>
              <w:t>同类</w:t>
            </w:r>
            <w:r>
              <w:rPr>
                <w:rFonts w:hint="eastAsia" w:ascii="宋体" w:hAnsi="宋体" w:cs="宋体"/>
                <w:color w:val="auto"/>
                <w:highlight w:val="none"/>
              </w:rPr>
              <w:t>项目业绩。在首次响应文件中提供有效类似项目业绩的合同关键页复印件（包含合同名称、合同内容，以及盖章页，供应商认为属于保密内容的，可以遮盖处理），每提供一个合同得2</w:t>
            </w:r>
            <w:r>
              <w:rPr>
                <w:rFonts w:hint="eastAsia" w:ascii="宋体" w:hAnsi="宋体" w:cs="宋体"/>
                <w:color w:val="auto"/>
                <w:highlight w:val="none"/>
                <w:lang w:val="en-US" w:eastAsia="zh-CN"/>
              </w:rPr>
              <w:t>.5</w:t>
            </w:r>
            <w:r>
              <w:rPr>
                <w:rFonts w:hint="eastAsia" w:ascii="宋体" w:hAnsi="宋体" w:cs="宋体"/>
                <w:color w:val="auto"/>
                <w:highlight w:val="none"/>
              </w:rPr>
              <w:t>分，满分</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93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r>
    </w:tbl>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pPr>
        <w:spacing w:line="360" w:lineRule="auto"/>
        <w:ind w:firstLine="420" w:firstLineChars="200"/>
        <w:rPr>
          <w:rFonts w:ascii="宋体" w:hAnsi="宋体"/>
          <w:b/>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color w:val="auto"/>
          <w:highlight w:val="none"/>
        </w:rPr>
      </w:pPr>
      <w:bookmarkStart w:id="122" w:name="_Toc11595"/>
      <w:bookmarkStart w:id="123" w:name="_Toc80886939"/>
      <w:bookmarkStart w:id="124" w:name="_Toc22545"/>
      <w:r>
        <w:rPr>
          <w:rFonts w:hint="eastAsia" w:ascii="宋体" w:hAnsi="宋体"/>
          <w:b w:val="0"/>
          <w:color w:val="auto"/>
          <w:highlight w:val="none"/>
        </w:rPr>
        <w:t>第二节 评审报告</w:t>
      </w:r>
      <w:bookmarkEnd w:id="120"/>
      <w:bookmarkEnd w:id="122"/>
      <w:bookmarkEnd w:id="123"/>
      <w:bookmarkEnd w:id="124"/>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6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pPr>
        <w:pStyle w:val="67"/>
        <w:spacing w:before="0"/>
        <w:ind w:firstLine="420"/>
        <w:rPr>
          <w:rFonts w:cs="宋体"/>
          <w:color w:val="auto"/>
          <w:kern w:val="2"/>
          <w:sz w:val="21"/>
          <w:szCs w:val="24"/>
          <w:highlight w:val="none"/>
        </w:rPr>
      </w:pPr>
    </w:p>
    <w:p>
      <w:pPr>
        <w:pStyle w:val="4"/>
        <w:spacing w:before="0" w:after="0" w:line="360" w:lineRule="auto"/>
        <w:ind w:firstLine="640" w:firstLineChars="200"/>
        <w:jc w:val="center"/>
        <w:rPr>
          <w:rFonts w:ascii="宋体" w:hAnsi="宋体"/>
          <w:b w:val="0"/>
          <w:color w:val="auto"/>
          <w:highlight w:val="none"/>
        </w:rPr>
      </w:pPr>
      <w:bookmarkStart w:id="125" w:name="_Toc20045"/>
      <w:bookmarkStart w:id="126" w:name="_Toc80205936"/>
      <w:bookmarkStart w:id="127" w:name="_Toc2025"/>
      <w:bookmarkStart w:id="128" w:name="_Toc80886940"/>
      <w:r>
        <w:rPr>
          <w:rFonts w:hint="eastAsia" w:ascii="宋体" w:hAnsi="宋体"/>
          <w:b w:val="0"/>
          <w:color w:val="auto"/>
          <w:highlight w:val="none"/>
        </w:rPr>
        <w:t>第三节 评审过程的保密与录像</w:t>
      </w:r>
      <w:bookmarkEnd w:id="125"/>
      <w:bookmarkEnd w:id="126"/>
      <w:bookmarkEnd w:id="127"/>
      <w:bookmarkEnd w:id="128"/>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cs="宋体"/>
          <w:color w:val="auto"/>
          <w:highlight w:val="none"/>
        </w:rPr>
        <w:t>磋商小组</w:t>
      </w:r>
      <w:r>
        <w:rPr>
          <w:rFonts w:cs="宋体"/>
          <w:color w:val="auto"/>
          <w:highlight w:val="none"/>
        </w:rPr>
        <w:t>成员、采购人和采购</w:t>
      </w:r>
      <w:r>
        <w:rPr>
          <w:rFonts w:hint="eastAsia" w:cs="宋体"/>
          <w:color w:val="auto"/>
          <w:highlight w:val="none"/>
        </w:rPr>
        <w:t>代理</w:t>
      </w:r>
      <w:r>
        <w:rPr>
          <w:rFonts w:cs="宋体"/>
          <w:color w:val="auto"/>
          <w:highlight w:val="none"/>
        </w:rPr>
        <w:t>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pPr>
        <w:pStyle w:val="4"/>
        <w:jc w:val="center"/>
        <w:rPr>
          <w:color w:val="auto"/>
          <w:highlight w:val="none"/>
        </w:rPr>
      </w:pP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rPr>
          <w:color w:val="auto"/>
          <w:highlight w:val="none"/>
        </w:rPr>
      </w:pPr>
    </w:p>
    <w:p>
      <w:pPr>
        <w:pStyle w:val="3"/>
        <w:rPr>
          <w:color w:val="auto"/>
          <w:highlight w:val="none"/>
        </w:rPr>
      </w:pPr>
    </w:p>
    <w:p>
      <w:pPr>
        <w:rPr>
          <w:color w:val="auto"/>
          <w:highlight w:val="none"/>
        </w:rPr>
      </w:pPr>
    </w:p>
    <w:p>
      <w:pPr>
        <w:pStyle w:val="3"/>
        <w:jc w:val="center"/>
        <w:rPr>
          <w:color w:val="auto"/>
          <w:highlight w:val="none"/>
        </w:rPr>
        <w:sectPr>
          <w:headerReference r:id="rId10" w:type="default"/>
          <w:footerReference r:id="rId11" w:type="default"/>
          <w:pgSz w:w="11911" w:h="16838"/>
          <w:pgMar w:top="1134" w:right="1134" w:bottom="1134" w:left="1134" w:header="720" w:footer="720" w:gutter="0"/>
          <w:cols w:space="720" w:num="1"/>
        </w:sectPr>
      </w:pPr>
      <w:bookmarkStart w:id="129" w:name="_Toc12890"/>
      <w:bookmarkStart w:id="130" w:name="_Toc26272"/>
      <w:bookmarkStart w:id="131" w:name="_Toc22302"/>
      <w:bookmarkStart w:id="132" w:name="_Toc27282"/>
      <w:bookmarkStart w:id="133" w:name="_Toc80886941"/>
      <w:bookmarkStart w:id="134" w:name="_Toc7776"/>
      <w:bookmarkStart w:id="135" w:name="_Toc17404"/>
      <w:bookmarkStart w:id="136" w:name="_Toc5005"/>
      <w:r>
        <w:rPr>
          <w:rFonts w:hint="eastAsia" w:ascii="Calibri" w:hAnsi="Calibri"/>
          <w:color w:val="auto"/>
          <w:highlight w:val="none"/>
        </w:rPr>
        <w:t>第五章 响应文件格式</w:t>
      </w:r>
      <w:bookmarkEnd w:id="129"/>
      <w:bookmarkEnd w:id="130"/>
      <w:bookmarkEnd w:id="131"/>
      <w:bookmarkEnd w:id="132"/>
      <w:bookmarkEnd w:id="133"/>
      <w:bookmarkEnd w:id="134"/>
      <w:bookmarkEnd w:id="135"/>
      <w:bookmarkEnd w:id="136"/>
    </w:p>
    <w:p>
      <w:pPr>
        <w:pStyle w:val="4"/>
        <w:jc w:val="center"/>
        <w:rPr>
          <w:rFonts w:ascii="宋体" w:hAnsi="宋体"/>
          <w:bCs w:val="0"/>
          <w:color w:val="auto"/>
          <w:highlight w:val="none"/>
        </w:rPr>
      </w:pPr>
      <w:bookmarkStart w:id="137" w:name="_Toc80205939"/>
      <w:bookmarkStart w:id="138" w:name="_Toc12994"/>
      <w:bookmarkStart w:id="139" w:name="_Toc22245"/>
      <w:bookmarkStart w:id="140" w:name="_Toc80886943"/>
      <w:r>
        <w:rPr>
          <w:rFonts w:hint="eastAsia" w:ascii="宋体" w:hAnsi="宋体"/>
          <w:bCs w:val="0"/>
          <w:color w:val="auto"/>
          <w:highlight w:val="none"/>
        </w:rPr>
        <w:t>第一节 资格证明文件格式</w:t>
      </w:r>
      <w:bookmarkEnd w:id="137"/>
      <w:bookmarkEnd w:id="138"/>
      <w:bookmarkEnd w:id="139"/>
      <w:bookmarkEnd w:id="140"/>
    </w:p>
    <w:p>
      <w:pPr>
        <w:snapToGrid w:val="0"/>
        <w:spacing w:before="120" w:beforeLines="50" w:after="50"/>
        <w:jc w:val="left"/>
        <w:rPr>
          <w:color w:val="auto"/>
          <w:sz w:val="24"/>
          <w:highlight w:val="none"/>
        </w:rPr>
      </w:pPr>
      <w:r>
        <w:rPr>
          <w:rFonts w:hint="eastAsia" w:hAnsi="宋体" w:cs="宋体"/>
          <w:b/>
          <w:bCs/>
          <w:color w:val="auto"/>
          <w:sz w:val="28"/>
          <w:szCs w:val="28"/>
          <w:highlight w:val="none"/>
        </w:rPr>
        <w:t>1.资格证明文件封面的格式</w:t>
      </w:r>
      <w:r>
        <w:rPr>
          <w:rFonts w:hint="eastAsia" w:ascii="宋体" w:hAnsi="宋体" w:cs="宋体"/>
          <w:b/>
          <w:color w:val="auto"/>
          <w:sz w:val="28"/>
          <w:szCs w:val="28"/>
          <w:highlight w:val="none"/>
        </w:rPr>
        <w:t>（参照此格式自拟）</w:t>
      </w:r>
      <w:r>
        <w:rPr>
          <w:rFonts w:hint="eastAsia" w:hAnsi="宋体" w:cs="宋体"/>
          <w:b/>
          <w:bCs/>
          <w:color w:val="auto"/>
          <w:sz w:val="28"/>
          <w:szCs w:val="28"/>
          <w:highlight w:val="none"/>
        </w:rPr>
        <w:t>：</w:t>
      </w:r>
      <w:r>
        <w:rPr>
          <w:rFonts w:hint="eastAsia"/>
          <w:color w:val="auto"/>
          <w:sz w:val="24"/>
          <w:highlight w:val="none"/>
        </w:rPr>
        <w:t xml:space="preserve">                                      </w:t>
      </w:r>
    </w:p>
    <w:p>
      <w:pPr>
        <w:snapToGrid w:val="0"/>
        <w:spacing w:before="120" w:beforeLines="50" w:after="50"/>
        <w:ind w:firstLine="6930" w:firstLineChars="33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b/>
          <w:bCs/>
          <w:color w:val="auto"/>
          <w:sz w:val="28"/>
          <w:szCs w:val="28"/>
          <w:highlight w:val="none"/>
        </w:rPr>
      </w:pPr>
      <w:r>
        <w:rPr>
          <w:color w:val="auto"/>
          <w:sz w:val="24"/>
          <w:highlight w:val="none"/>
        </w:rPr>
        <w:br w:type="page"/>
      </w:r>
      <w:r>
        <w:rPr>
          <w:rFonts w:hint="eastAsia" w:ascii="宋体" w:hAnsi="宋体" w:cs="宋体"/>
          <w:b/>
          <w:bCs/>
          <w:color w:val="auto"/>
          <w:sz w:val="28"/>
          <w:szCs w:val="28"/>
          <w:highlight w:val="none"/>
        </w:rPr>
        <w:t>2.资格证明文件目录</w:t>
      </w:r>
    </w:p>
    <w:p>
      <w:pPr>
        <w:spacing w:line="360" w:lineRule="auto"/>
        <w:rPr>
          <w:rFonts w:ascii="宋体" w:hAnsi="宋体" w:cs="宋体"/>
          <w:b/>
          <w:bCs/>
          <w:color w:val="auto"/>
          <w:sz w:val="28"/>
          <w:szCs w:val="28"/>
          <w:highlight w:val="none"/>
        </w:rPr>
      </w:pPr>
      <w:r>
        <w:rPr>
          <w:rFonts w:hint="eastAsia" w:ascii="宋体" w:hAnsi="宋体" w:cs="宋体"/>
          <w:color w:val="auto"/>
          <w:sz w:val="28"/>
          <w:szCs w:val="28"/>
          <w:highlight w:val="none"/>
        </w:rPr>
        <w:t xml:space="preserve">    根据竞争性磋商文件规定及供应商提供的材料自行编写目录（部分格式后附）。</w:t>
      </w:r>
    </w:p>
    <w:p>
      <w:pPr>
        <w:spacing w:line="320" w:lineRule="exact"/>
        <w:jc w:val="left"/>
        <w:rPr>
          <w:rFonts w:ascii="宋体" w:hAnsi="宋体" w:cs="宋体"/>
          <w:b/>
          <w:bCs/>
          <w:color w:val="auto"/>
          <w:sz w:val="28"/>
          <w:szCs w:val="28"/>
          <w:highlight w:val="none"/>
        </w:rPr>
      </w:pPr>
      <w:r>
        <w:rPr>
          <w:rFonts w:hint="eastAsia"/>
          <w:color w:val="auto"/>
          <w:szCs w:val="21"/>
          <w:highlight w:val="none"/>
        </w:rPr>
        <w:br w:type="page"/>
      </w:r>
      <w:r>
        <w:rPr>
          <w:rFonts w:hint="eastAsia" w:ascii="宋体" w:hAnsi="宋体" w:cs="宋体"/>
          <w:b/>
          <w:bCs/>
          <w:color w:val="auto"/>
          <w:kern w:val="0"/>
          <w:sz w:val="28"/>
          <w:szCs w:val="28"/>
          <w:highlight w:val="none"/>
        </w:rPr>
        <w:t>3.声明函的格式：</w:t>
      </w:r>
    </w:p>
    <w:p>
      <w:pPr>
        <w:spacing w:line="320" w:lineRule="exact"/>
        <w:jc w:val="center"/>
        <w:rPr>
          <w:b/>
          <w:color w:val="auto"/>
          <w:sz w:val="32"/>
          <w:szCs w:val="32"/>
          <w:highlight w:val="none"/>
        </w:rPr>
      </w:pPr>
    </w:p>
    <w:p>
      <w:pPr>
        <w:spacing w:line="320" w:lineRule="exact"/>
        <w:jc w:val="center"/>
        <w:rPr>
          <w:b/>
          <w:color w:val="auto"/>
          <w:sz w:val="32"/>
          <w:szCs w:val="32"/>
          <w:highlight w:val="none"/>
        </w:rPr>
      </w:pPr>
      <w:r>
        <w:rPr>
          <w:rFonts w:hint="eastAsia"/>
          <w:b/>
          <w:color w:val="auto"/>
          <w:sz w:val="32"/>
          <w:szCs w:val="32"/>
          <w:highlight w:val="none"/>
        </w:rPr>
        <w:t>声明函</w:t>
      </w:r>
    </w:p>
    <w:p>
      <w:pPr>
        <w:spacing w:line="320" w:lineRule="exact"/>
        <w:jc w:val="center"/>
        <w:rPr>
          <w:color w:val="auto"/>
          <w:sz w:val="24"/>
          <w:szCs w:val="20"/>
          <w:highlight w:val="none"/>
        </w:rPr>
      </w:pPr>
    </w:p>
    <w:p>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i/>
          <w:iCs/>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（2）已详细审查磋商文件的全部内容，包括澄清或者更正公告（如有）；</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7"/>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以上事项如有虚假或者隐瞒，我方愿意承担一切后果，并不再寻求任何旨在减轻或者免除法律责任的辩解。</w:t>
      </w:r>
    </w:p>
    <w:p>
      <w:pPr>
        <w:pStyle w:val="17"/>
        <w:tabs>
          <w:tab w:val="left" w:pos="939"/>
        </w:tabs>
        <w:spacing w:line="44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pStyle w:val="17"/>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color w:val="auto"/>
          <w:kern w:val="0"/>
          <w:sz w:val="24"/>
          <w:highlight w:val="none"/>
        </w:rPr>
      </w:pP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rPr>
          <w:rFonts w:ascii="宋体" w:hAnsi="宋体" w:cs="宋体"/>
          <w:color w:val="auto"/>
          <w:kern w:val="0"/>
          <w:sz w:val="24"/>
          <w:highlight w:val="none"/>
          <w:lang w:val="zh-CN"/>
        </w:rPr>
      </w:pP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供应商直接控股股东信息表的格式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before="50" w:after="12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供应商直接管理关系信息表的格式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pPr>
        <w:pStyle w:val="8"/>
        <w:overflowPunct w:val="0"/>
        <w:spacing w:line="520" w:lineRule="exact"/>
        <w:ind w:firstLine="0"/>
        <w:rPr>
          <w:rFonts w:ascii="宋体" w:hAnsi="宋体" w:cs="宋体"/>
          <w:b/>
          <w:bCs/>
          <w:color w:val="auto"/>
          <w:sz w:val="28"/>
          <w:szCs w:val="28"/>
          <w:highlight w:val="none"/>
        </w:rPr>
      </w:pPr>
      <w:r>
        <w:rPr>
          <w:rFonts w:hint="eastAsia" w:ascii="宋体" w:hAnsi="宋体" w:cs="宋体"/>
          <w:b/>
          <w:color w:val="auto"/>
          <w:kern w:val="0"/>
          <w:sz w:val="28"/>
          <w:szCs w:val="28"/>
          <w:highlight w:val="none"/>
        </w:rPr>
        <w:t>6.联合体竞标协议书的格式：</w:t>
      </w:r>
    </w:p>
    <w:p>
      <w:pPr>
        <w:spacing w:line="600" w:lineRule="exact"/>
        <w:jc w:val="center"/>
        <w:rPr>
          <w:rFonts w:ascii="仿宋" w:hAnsi="仿宋" w:eastAsia="仿宋" w:cs="仿宋"/>
          <w:color w:val="auto"/>
          <w:sz w:val="44"/>
          <w:szCs w:val="44"/>
          <w:highlight w:val="none"/>
        </w:rPr>
      </w:pPr>
    </w:p>
    <w:p>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w:t>
      </w:r>
    </w:p>
    <w:p>
      <w:pPr>
        <w:autoSpaceDE w:val="0"/>
        <w:autoSpaceDN w:val="0"/>
        <w:adjustRightInd w:val="0"/>
        <w:spacing w:line="360" w:lineRule="auto"/>
        <w:jc w:val="left"/>
        <w:rPr>
          <w:rFonts w:hAnsi="Calibri" w:cs="宋体"/>
          <w:color w:val="auto"/>
          <w:kern w:val="0"/>
          <w:szCs w:val="21"/>
          <w:highlight w:val="none"/>
          <w:u w:val="singl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（采购代理机构名称）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 xml:space="preserve"> （项目名称）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i/>
          <w:iCs/>
          <w:color w:val="auto"/>
          <w:kern w:val="0"/>
          <w:sz w:val="24"/>
          <w:highlight w:val="none"/>
          <w:u w:val="single"/>
        </w:rPr>
        <w:t>（项目编号）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（某成员单位名称）为联合体名称牵头人。</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5、本联合体中，</w:t>
      </w:r>
      <w:r>
        <w:rPr>
          <w:rFonts w:hint="eastAsia" w:ascii="宋体" w:hAnsi="宋体" w:cs="宋体"/>
          <w:color w:val="auto"/>
          <w:kern w:val="0"/>
          <w:sz w:val="24"/>
          <w:highlight w:val="none"/>
          <w:u w:val="single"/>
        </w:rPr>
        <w:t xml:space="preserve">                         （某成员单位名称）为       </w:t>
      </w:r>
      <w:r>
        <w:rPr>
          <w:rFonts w:hint="eastAsia" w:ascii="宋体" w:hAnsi="宋体" w:cs="宋体"/>
          <w:color w:val="auto"/>
          <w:kern w:val="0"/>
          <w:sz w:val="24"/>
          <w:highlight w:val="none"/>
        </w:rPr>
        <w:t>（请填写：中型、小型、微型）企业，其协议合同金额占联合体协议合同总金额的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Cs w:val="21"/>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autoSpaceDE w:val="0"/>
        <w:autoSpaceDN w:val="0"/>
        <w:spacing w:line="360" w:lineRule="exact"/>
        <w:ind w:left="4365" w:leftChars="1850" w:hanging="480" w:hangingChars="200"/>
        <w:rPr>
          <w:rFonts w:ascii="宋体" w:hAnsi="宋体" w:cs="宋体"/>
          <w:color w:val="auto"/>
          <w:kern w:val="0"/>
          <w:sz w:val="24"/>
          <w:highlight w:val="none"/>
        </w:rPr>
      </w:pPr>
    </w:p>
    <w:p>
      <w:pPr>
        <w:autoSpaceDE w:val="0"/>
        <w:autoSpaceDN w:val="0"/>
        <w:spacing w:line="360" w:lineRule="exact"/>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pStyle w:val="4"/>
        <w:jc w:val="center"/>
        <w:rPr>
          <w:rFonts w:ascii="宋体" w:hAnsi="宋体"/>
          <w:b w:val="0"/>
          <w:color w:val="auto"/>
          <w:highlight w:val="none"/>
        </w:rPr>
      </w:pPr>
      <w:bookmarkStart w:id="141" w:name="_Toc20562"/>
      <w:bookmarkStart w:id="142" w:name="_Toc15951"/>
      <w:bookmarkStart w:id="143" w:name="_Toc80205940"/>
      <w:bookmarkStart w:id="144" w:name="_Toc80886944"/>
      <w:r>
        <w:rPr>
          <w:rFonts w:hint="eastAsia" w:ascii="宋体" w:hAnsi="宋体"/>
          <w:b w:val="0"/>
          <w:bCs w:val="0"/>
          <w:color w:val="auto"/>
          <w:highlight w:val="none"/>
        </w:rPr>
        <w:t xml:space="preserve">第二节 </w:t>
      </w:r>
      <w:r>
        <w:rPr>
          <w:rFonts w:hint="eastAsia" w:ascii="宋体" w:hAnsi="宋体"/>
          <w:b w:val="0"/>
          <w:color w:val="auto"/>
          <w:highlight w:val="none"/>
        </w:rPr>
        <w:t>商务技术文件格式</w:t>
      </w:r>
      <w:bookmarkEnd w:id="141"/>
      <w:bookmarkEnd w:id="142"/>
      <w:bookmarkEnd w:id="143"/>
      <w:bookmarkEnd w:id="144"/>
    </w:p>
    <w:p>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28"/>
          <w:szCs w:val="28"/>
          <w:highlight w:val="none"/>
        </w:rPr>
        <w:t>1.商务技术文件封面的格式</w:t>
      </w:r>
      <w:r>
        <w:rPr>
          <w:rFonts w:hint="eastAsia" w:ascii="宋体" w:hAnsi="宋体" w:cs="宋体"/>
          <w:b/>
          <w:color w:val="auto"/>
          <w:sz w:val="28"/>
          <w:szCs w:val="28"/>
          <w:highlight w:val="none"/>
        </w:rPr>
        <w:t>（参照此格式自拟）</w:t>
      </w:r>
      <w:r>
        <w:rPr>
          <w:rFonts w:hint="eastAsia" w:ascii="宋体" w:hAnsi="宋体"/>
          <w:b/>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ind w:left="142" w:firstLine="642" w:firstLineChars="200"/>
        <w:jc w:val="left"/>
        <w:rPr>
          <w:b/>
          <w:bCs/>
          <w:color w:val="auto"/>
          <w:sz w:val="32"/>
          <w:szCs w:val="32"/>
          <w:highlight w:val="none"/>
        </w:rPr>
        <w:sectPr>
          <w:pgSz w:w="11911" w:h="16838"/>
          <w:pgMar w:top="1134" w:right="1134" w:bottom="1134" w:left="1134" w:header="720" w:footer="720" w:gutter="0"/>
          <w:cols w:space="720" w:num="1"/>
        </w:sectPr>
      </w:pPr>
    </w:p>
    <w:p>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2.商务技术文件目录</w:t>
      </w:r>
    </w:p>
    <w:p>
      <w:pPr>
        <w:spacing w:line="400" w:lineRule="exact"/>
        <w:rPr>
          <w:rFonts w:ascii="仿宋_GB2312" w:hAnsi="仿宋_GB2312" w:eastAsia="仿宋_GB2312" w:cs="仿宋_GB2312"/>
          <w:color w:val="auto"/>
          <w:sz w:val="32"/>
          <w:szCs w:val="32"/>
          <w:highlight w:val="none"/>
        </w:rPr>
      </w:pPr>
      <w:r>
        <w:rPr>
          <w:rFonts w:hint="eastAsia" w:ascii="宋体" w:hAnsi="宋体" w:cs="宋体"/>
          <w:color w:val="auto"/>
          <w:kern w:val="0"/>
          <w:sz w:val="24"/>
          <w:highlight w:val="none"/>
        </w:rPr>
        <w:t xml:space="preserve">  根据竞争性磋商文件规定及供应商提供的材料自行编写目录（部分格式后附）。</w:t>
      </w:r>
    </w:p>
    <w:p>
      <w:pPr>
        <w:spacing w:line="520" w:lineRule="exact"/>
        <w:jc w:val="left"/>
        <w:rPr>
          <w:rFonts w:ascii="宋体" w:hAnsi="宋体" w:cs="宋体"/>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cs="宋体"/>
          <w:b/>
          <w:color w:val="auto"/>
          <w:sz w:val="28"/>
          <w:szCs w:val="28"/>
          <w:highlight w:val="none"/>
        </w:rPr>
        <w:t>3.无串通竞标行为的承诺函的格式：</w:t>
      </w: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pPr>
        <w:spacing w:line="520" w:lineRule="exact"/>
        <w:ind w:firstLine="640" w:firstLineChars="200"/>
        <w:rPr>
          <w:rFonts w:ascii="仿宋_GB2312" w:hAnsi="仿宋_GB2312" w:eastAsia="仿宋_GB2312" w:cs="仿宋_GB2312"/>
          <w:color w:val="auto"/>
          <w:sz w:val="32"/>
          <w:szCs w:val="32"/>
          <w:highlight w:val="none"/>
        </w:rPr>
      </w:pP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pPr>
        <w:pStyle w:val="2"/>
        <w:ind w:firstLine="480" w:firstLineChars="200"/>
        <w:rPr>
          <w:rFonts w:ascii="宋体" w:hAnsi="宋体" w:cs="宋体"/>
          <w:color w:val="auto"/>
          <w:highlight w:val="none"/>
        </w:rPr>
      </w:pPr>
      <w:r>
        <w:rPr>
          <w:rFonts w:hint="eastAsia" w:ascii="宋体" w:hAnsi="宋体" w:cs="宋体"/>
          <w:color w:val="auto"/>
          <w:sz w:val="24"/>
          <w:highlight w:val="none"/>
        </w:rPr>
        <w:t>6.不同供应商的磋商保证金从同一单位或者个人账户转出。</w:t>
      </w: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宋体"/>
          <w:color w:val="auto"/>
          <w:sz w:val="24"/>
          <w:highlight w:val="none"/>
        </w:rPr>
      </w:pPr>
    </w:p>
    <w:p>
      <w:pPr>
        <w:spacing w:line="360" w:lineRule="auto"/>
        <w:ind w:firstLine="481"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pPr>
        <w:pStyle w:val="22"/>
        <w:rPr>
          <w:rFonts w:ascii="宋体" w:hAnsi="宋体" w:cs="宋体"/>
          <w:b/>
          <w:bCs/>
          <w:color w:val="auto"/>
          <w:sz w:val="24"/>
          <w:highlight w:val="none"/>
        </w:rPr>
      </w:pPr>
    </w:p>
    <w:p>
      <w:pPr>
        <w:pStyle w:val="22"/>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480" w:lineRule="auto"/>
        <w:ind w:firstLine="5040" w:firstLineChars="2100"/>
        <w:jc w:val="left"/>
        <w:rPr>
          <w:rFonts w:ascii="宋体" w:hAnsi="宋体" w:cs="宋体"/>
          <w:b/>
          <w:bCs/>
          <w:color w:val="auto"/>
          <w:sz w:val="28"/>
          <w:szCs w:val="28"/>
          <w:highlight w:val="none"/>
        </w:rPr>
      </w:pPr>
      <w:r>
        <w:rPr>
          <w:rFonts w:hint="eastAsia" w:ascii="宋体" w:hAnsi="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cs="宋体"/>
          <w:b/>
          <w:bCs/>
          <w:color w:val="auto"/>
          <w:sz w:val="28"/>
          <w:szCs w:val="28"/>
          <w:highlight w:val="none"/>
        </w:rPr>
        <w:t>4.法定代表人身份证明的格式：</w:t>
      </w: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cs="宋体"/>
          <w:bCs/>
          <w:color w:val="auto"/>
          <w:sz w:val="32"/>
          <w:szCs w:val="32"/>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pPr>
        <w:spacing w:line="360" w:lineRule="auto"/>
        <w:ind w:left="540"/>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contextualSpacing/>
        <w:jc w:val="left"/>
        <w:rPr>
          <w:rFonts w:ascii="宋体" w:hAnsi="宋体" w:cs="宋体"/>
          <w:color w:val="auto"/>
          <w:sz w:val="24"/>
          <w:highlight w:val="none"/>
        </w:rPr>
      </w:pPr>
    </w:p>
    <w:p>
      <w:pPr>
        <w:spacing w:line="360" w:lineRule="auto"/>
        <w:contextualSpacing/>
        <w:jc w:val="left"/>
        <w:rPr>
          <w:rFonts w:ascii="宋体" w:hAnsi="宋体" w:cs="宋体"/>
          <w:color w:val="auto"/>
          <w:sz w:val="24"/>
          <w:highlight w:val="none"/>
        </w:rPr>
      </w:pP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1.自然人竞标的无需提供，联合体竞标的只需牵头人出具。</w:t>
      </w:r>
    </w:p>
    <w:p>
      <w:pPr>
        <w:spacing w:line="360" w:lineRule="auto"/>
        <w:ind w:firstLine="420" w:firstLineChars="200"/>
        <w:contextualSpacing/>
        <w:jc w:val="left"/>
        <w:rPr>
          <w:rFonts w:ascii="宋体" w:hAnsi="宋体" w:cs="宋体"/>
          <w:color w:val="auto"/>
          <w:szCs w:val="21"/>
          <w:highlight w:val="none"/>
        </w:rPr>
        <w:sectPr>
          <w:pgSz w:w="11911" w:h="16838"/>
          <w:pgMar w:top="1134" w:right="1134" w:bottom="1134" w:left="1134" w:header="720" w:footer="720" w:gutter="0"/>
          <w:cols w:space="720" w:num="1"/>
        </w:sect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1" w:firstLineChars="200"/>
        <w:contextualSpacing/>
        <w:jc w:val="left"/>
        <w:rPr>
          <w:rFonts w:ascii="仿宋_GB2312" w:hAnsi="仿宋_GB2312" w:eastAsia="仿宋_GB2312" w:cs="仿宋_GB2312"/>
          <w:b/>
          <w:color w:val="auto"/>
          <w:sz w:val="32"/>
          <w:szCs w:val="32"/>
          <w:highlight w:val="none"/>
        </w:rPr>
      </w:pPr>
      <w:r>
        <w:rPr>
          <w:rFonts w:hint="eastAsia" w:ascii="Calibri"/>
          <w:b/>
          <w:color w:val="auto"/>
          <w:sz w:val="24"/>
          <w:highlight w:val="none"/>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hAnsi="Calibri"/>
                <w:b/>
                <w:color w:val="auto"/>
                <w:sz w:val="24"/>
                <w:highlight w:val="none"/>
              </w:rPr>
            </w:pPr>
          </w:p>
          <w:p>
            <w:pPr>
              <w:spacing w:line="360" w:lineRule="auto"/>
              <w:rPr>
                <w:rFonts w:hAnsi="Calibri"/>
                <w:b/>
                <w:color w:val="auto"/>
                <w:sz w:val="24"/>
                <w:highlight w:val="none"/>
              </w:rPr>
            </w:pPr>
            <w:r>
              <w:rPr>
                <w:rFonts w:hint="eastAsia" w:hAnsi="Calibri"/>
                <w:b/>
                <w:color w:val="auto"/>
                <w:sz w:val="24"/>
                <w:highlight w:val="none"/>
              </w:rPr>
              <w:t>法定代表人身份证复印件粘贴处（正、反面）</w:t>
            </w:r>
          </w:p>
        </w:tc>
      </w:tr>
    </w:tbl>
    <w:p>
      <w:pPr>
        <w:adjustRightInd w:val="0"/>
        <w:snapToGrid w:val="0"/>
        <w:spacing w:line="300" w:lineRule="auto"/>
        <w:jc w:val="left"/>
        <w:rPr>
          <w:b/>
          <w:color w:val="auto"/>
          <w:szCs w:val="21"/>
          <w:highlight w:val="none"/>
        </w:rPr>
      </w:pPr>
    </w:p>
    <w:p>
      <w:pPr>
        <w:spacing w:line="520" w:lineRule="exact"/>
        <w:ind w:firstLine="880"/>
        <w:jc w:val="left"/>
        <w:rPr>
          <w:rFonts w:ascii="宋体" w:hAnsi="宋体" w:cs="宋体"/>
          <w:color w:val="auto"/>
          <w:szCs w:val="21"/>
          <w:highlight w:val="none"/>
        </w:rPr>
      </w:pPr>
    </w:p>
    <w:p>
      <w:pPr>
        <w:spacing w:line="520" w:lineRule="exact"/>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宋体" w:hAnsi="宋体" w:cs="宋体"/>
          <w:b/>
          <w:bCs/>
          <w:color w:val="auto"/>
          <w:sz w:val="28"/>
          <w:szCs w:val="28"/>
          <w:highlight w:val="none"/>
        </w:rPr>
        <w:t>5.法定代表人授权委托书的格式：</w:t>
      </w:r>
    </w:p>
    <w:p>
      <w:pPr>
        <w:spacing w:line="500" w:lineRule="exact"/>
        <w:jc w:val="center"/>
        <w:rPr>
          <w:rFonts w:ascii="仿宋" w:hAnsi="仿宋" w:eastAsia="仿宋" w:cs="仿宋"/>
          <w:color w:val="auto"/>
          <w:sz w:val="44"/>
          <w:szCs w:val="44"/>
          <w:highlight w:val="none"/>
        </w:rPr>
      </w:pP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授权委托书（非联合体竞标格式）</w:t>
      </w: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pPr>
        <w:spacing w:line="500" w:lineRule="exact"/>
        <w:jc w:val="center"/>
        <w:rPr>
          <w:rFonts w:ascii="宋体" w:hAnsi="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cs="宋体"/>
          <w:b/>
          <w:bCs/>
          <w:color w:val="auto"/>
          <w:sz w:val="32"/>
          <w:szCs w:val="32"/>
          <w:highlight w:val="none"/>
        </w:rPr>
        <w:t>授权委托书（联合体竞标格式）</w:t>
      </w:r>
    </w:p>
    <w:p>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pPr>
        <w:spacing w:line="500" w:lineRule="exact"/>
        <w:jc w:val="center"/>
        <w:rPr>
          <w:rFonts w:ascii="仿宋" w:hAnsi="仿宋" w:eastAsia="仿宋" w:cs="仿宋"/>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xml:space="preserve"> （姓名）</w:t>
      </w:r>
      <w:r>
        <w:rPr>
          <w:rFonts w:hint="eastAsia" w:ascii="宋体" w:hAnsi="宋体" w:cs="宋体"/>
          <w:color w:val="auto"/>
          <w:sz w:val="24"/>
          <w:highlight w:val="none"/>
        </w:rPr>
        <w:t>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w:t>
      </w: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牵头人名称（盖公章）：</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委托代理人（签字）：</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widowControl/>
        <w:shd w:val="clear" w:color="auto" w:fill="FFFFFF"/>
        <w:spacing w:line="480" w:lineRule="atLeast"/>
        <w:rPr>
          <w:rFonts w:ascii="宋体" w:hAnsi="宋体" w:cs="宋体"/>
          <w:color w:val="auto"/>
          <w:sz w:val="24"/>
          <w:highlight w:val="none"/>
        </w:rPr>
      </w:pPr>
      <w:r>
        <w:rPr>
          <w:rFonts w:hint="eastAsia" w:ascii="仿宋_GB2312" w:hAnsi="仿宋_GB2312" w:eastAsia="仿宋_GB2312" w:cs="仿宋_GB2312"/>
          <w:color w:val="auto"/>
          <w:sz w:val="32"/>
          <w:szCs w:val="32"/>
          <w:highlight w:val="none"/>
        </w:rPr>
        <w:br w:type="page"/>
      </w:r>
      <w:r>
        <w:rPr>
          <w:rFonts w:hint="eastAsia" w:hAnsi="宋体" w:cs="宋体"/>
          <w:b/>
          <w:color w:val="auto"/>
          <w:sz w:val="28"/>
          <w:szCs w:val="28"/>
          <w:highlight w:val="none"/>
        </w:rPr>
        <w:t xml:space="preserve">5、供应商认为有必要提供的其他文件 </w:t>
      </w:r>
    </w:p>
    <w:p>
      <w:pPr>
        <w:shd w:val="clear" w:color="auto" w:fill="FFFFFF"/>
        <w:spacing w:line="520" w:lineRule="exact"/>
        <w:jc w:val="center"/>
        <w:rPr>
          <w:color w:val="auto"/>
          <w:sz w:val="24"/>
          <w:highlight w:val="none"/>
        </w:rPr>
      </w:pPr>
    </w:p>
    <w:p>
      <w:pPr>
        <w:spacing w:line="520" w:lineRule="exact"/>
        <w:jc w:val="center"/>
        <w:rPr>
          <w:color w:val="auto"/>
          <w:sz w:val="24"/>
          <w:highlight w:val="none"/>
        </w:rPr>
      </w:pPr>
    </w:p>
    <w:p>
      <w:pPr>
        <w:spacing w:line="520" w:lineRule="exact"/>
        <w:jc w:val="left"/>
        <w:rPr>
          <w:rFonts w:ascii="仿宋_GB2312" w:hAnsi="仿宋_GB2312" w:eastAsia="仿宋_GB2312" w:cs="仿宋_GB2312"/>
          <w:color w:val="auto"/>
          <w:sz w:val="32"/>
          <w:szCs w:val="32"/>
          <w:highlight w:val="none"/>
        </w:rPr>
      </w:pPr>
    </w:p>
    <w:p>
      <w:pPr>
        <w:spacing w:line="520" w:lineRule="exact"/>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宋体"/>
          <w:b/>
          <w:color w:val="auto"/>
          <w:sz w:val="28"/>
          <w:szCs w:val="28"/>
          <w:highlight w:val="none"/>
        </w:rPr>
        <w:t>6.商务条款偏离表的格式：</w:t>
      </w:r>
    </w:p>
    <w:p>
      <w:pPr>
        <w:pStyle w:val="22"/>
        <w:rPr>
          <w:color w:val="auto"/>
          <w:highlight w:val="none"/>
        </w:rPr>
      </w:pP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pPr>
        <w:spacing w:line="520" w:lineRule="exact"/>
        <w:rPr>
          <w:rFonts w:ascii="宋体" w:hAnsi="宋体" w:cs="宋体"/>
          <w:color w:val="auto"/>
          <w:sz w:val="32"/>
          <w:szCs w:val="32"/>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bl>
    <w:p>
      <w:pPr>
        <w:pStyle w:val="16"/>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6"/>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1.应对照磋商文件“第二章 采购需求”中的商务条款逐条作出明确响应，并作出偏离说明。</w:t>
      </w:r>
    </w:p>
    <w:p>
      <w:pPr>
        <w:pStyle w:val="16"/>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w:t>
      </w:r>
      <w:r>
        <w:rPr>
          <w:rFonts w:hint="eastAsia" w:ascii="宋体" w:hAnsi="宋体" w:cs="宋体"/>
          <w:b/>
          <w:bCs/>
          <w:color w:val="auto"/>
          <w:kern w:val="0"/>
          <w:sz w:val="24"/>
          <w:highlight w:val="none"/>
        </w:rPr>
        <w:t>否则按竞标无效处理。</w:t>
      </w:r>
    </w:p>
    <w:p>
      <w:pPr>
        <w:spacing w:line="400" w:lineRule="exact"/>
        <w:ind w:firstLine="480" w:firstLineChars="200"/>
        <w:contextualSpacing/>
        <w:rPr>
          <w:rFonts w:ascii="宋体" w:hAnsi="宋体" w:cs="宋体"/>
          <w:color w:val="auto"/>
          <w:kern w:val="0"/>
          <w:sz w:val="24"/>
          <w:highlight w:val="none"/>
        </w:rPr>
      </w:pPr>
    </w:p>
    <w:p>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22"/>
        <w:rPr>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25"/>
        <w:snapToGrid w:val="0"/>
        <w:ind w:left="562" w:hanging="562"/>
        <w:rPr>
          <w:rFonts w:ascii="宋体" w:hAnsi="宋体" w:cs="宋体"/>
          <w:i/>
          <w:iCs/>
          <w:color w:val="auto"/>
          <w:sz w:val="24"/>
          <w:highlight w:val="none"/>
        </w:rPr>
      </w:pPr>
      <w:r>
        <w:rPr>
          <w:rFonts w:hint="eastAsia" w:ascii="宋体" w:hAnsi="宋体" w:cs="宋体"/>
          <w:b/>
          <w:color w:val="auto"/>
          <w:sz w:val="28"/>
          <w:szCs w:val="28"/>
          <w:highlight w:val="none"/>
        </w:rPr>
        <w:t>7.供应商类似的业绩证明文件</w:t>
      </w:r>
      <w:r>
        <w:rPr>
          <w:rFonts w:hint="eastAsia" w:ascii="宋体" w:hAnsi="宋体" w:cs="宋体"/>
          <w:b/>
          <w:bCs/>
          <w:color w:val="auto"/>
          <w:sz w:val="30"/>
          <w:szCs w:val="30"/>
          <w:highlight w:val="none"/>
        </w:rPr>
        <w:t>（如有要求）：</w:t>
      </w:r>
    </w:p>
    <w:p>
      <w:pPr>
        <w:spacing w:line="360" w:lineRule="auto"/>
        <w:ind w:firstLine="2880" w:firstLineChars="900"/>
        <w:contextualSpacing/>
        <w:rPr>
          <w:rFonts w:ascii="宋体" w:hAnsi="宋体" w:cs="宋体"/>
          <w:color w:val="auto"/>
          <w:sz w:val="32"/>
          <w:szCs w:val="32"/>
          <w:highlight w:val="none"/>
        </w:rPr>
      </w:pPr>
    </w:p>
    <w:p>
      <w:pPr>
        <w:spacing w:line="360" w:lineRule="auto"/>
        <w:ind w:firstLine="2880" w:firstLineChars="900"/>
        <w:contextualSpacing/>
        <w:rPr>
          <w:rFonts w:ascii="宋体" w:hAnsi="宋体" w:cs="宋体"/>
          <w:color w:val="auto"/>
          <w:sz w:val="32"/>
          <w:szCs w:val="32"/>
          <w:highlight w:val="none"/>
        </w:rPr>
      </w:pPr>
      <w:r>
        <w:rPr>
          <w:rFonts w:hint="eastAsia" w:ascii="宋体" w:hAnsi="宋体" w:cs="宋体"/>
          <w:color w:val="auto"/>
          <w:sz w:val="32"/>
          <w:szCs w:val="32"/>
          <w:highlight w:val="none"/>
        </w:rPr>
        <w:t>类似项目的业绩一览表</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合同或</w:t>
            </w:r>
            <w:r>
              <w:rPr>
                <w:rFonts w:hint="eastAsia" w:ascii="宋体" w:hAnsi="宋体" w:cs="宋体"/>
                <w:color w:val="auto"/>
                <w:highlight w:val="none"/>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bl>
    <w:p>
      <w:pPr>
        <w:snapToGrid w:val="0"/>
        <w:spacing w:line="360" w:lineRule="auto"/>
        <w:ind w:firstLine="4935" w:firstLineChars="2350"/>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 w:val="24"/>
          <w:szCs w:val="20"/>
          <w:highlight w:val="none"/>
        </w:rPr>
        <w:t>注：在填写时，如本表格不适合供应商的实际情况，可参照本表格式自行制表填写，并附上相关证明材料</w:t>
      </w:r>
      <w:r>
        <w:rPr>
          <w:rFonts w:hint="eastAsia"/>
          <w:color w:val="auto"/>
          <w:highlight w:val="none"/>
        </w:rPr>
        <w:t>。</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供应商名称(盖公章)：</w:t>
      </w:r>
    </w:p>
    <w:p>
      <w:pPr>
        <w:spacing w:line="500" w:lineRule="exact"/>
        <w:jc w:val="center"/>
        <w:rPr>
          <w:rFonts w:ascii="宋体" w:hAnsi="宋体" w:cs="宋体"/>
          <w:color w:val="auto"/>
          <w:sz w:val="32"/>
          <w:szCs w:val="32"/>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8.服务需求偏离表的格式：</w:t>
      </w: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pPr>
        <w:spacing w:line="360" w:lineRule="auto"/>
        <w:contextualSpacing/>
        <w:jc w:val="left"/>
        <w:rPr>
          <w:rFonts w:ascii="宋体" w:hAnsi="宋体" w:cs="宋体"/>
          <w:color w:val="auto"/>
          <w:sz w:val="24"/>
          <w:highlight w:val="none"/>
        </w:rPr>
      </w:pP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竞争性磋商文件</w:t>
            </w:r>
            <w:r>
              <w:rPr>
                <w:rFonts w:hint="eastAsia" w:ascii="宋体" w:hAnsi="宋体"/>
                <w:color w:val="auto"/>
                <w:szCs w:val="21"/>
                <w:highlight w:val="none"/>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响应文件响应的</w:t>
            </w:r>
            <w:r>
              <w:rPr>
                <w:rFonts w:hint="eastAsia" w:ascii="宋体" w:hAnsi="宋体"/>
                <w:color w:val="auto"/>
                <w:szCs w:val="21"/>
                <w:highlight w:val="none"/>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pStyle w:val="16"/>
        <w:ind w:firstLine="845"/>
        <w:rPr>
          <w:rFonts w:ascii="宋体" w:hAnsi="宋体" w:cs="宋体"/>
          <w:color w:val="auto"/>
          <w:sz w:val="24"/>
          <w:highlight w:val="none"/>
          <w:u w:val="single"/>
        </w:rPr>
      </w:pPr>
    </w:p>
    <w:p>
      <w:pPr>
        <w:pStyle w:val="15"/>
        <w:spacing w:after="0" w:line="360" w:lineRule="auto"/>
        <w:contextualSpacing/>
        <w:rPr>
          <w:rFonts w:ascii="宋体" w:hAnsi="宋体" w:cs="宋体"/>
          <w:color w:val="auto"/>
          <w:kern w:val="0"/>
          <w:sz w:val="24"/>
          <w:szCs w:val="24"/>
          <w:highlight w:val="none"/>
        </w:rPr>
      </w:pPr>
    </w:p>
    <w:p>
      <w:pPr>
        <w:pStyle w:val="15"/>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pPr>
        <w:pStyle w:val="15"/>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1.说明：应对照磋商文件“第二章  </w:t>
      </w:r>
      <w:r>
        <w:rPr>
          <w:rFonts w:hint="eastAsia" w:ascii="Cambria" w:hAnsi="Cambria"/>
          <w:bCs/>
          <w:color w:val="auto"/>
          <w:sz w:val="21"/>
          <w:szCs w:val="21"/>
          <w:highlight w:val="none"/>
        </w:rPr>
        <w:t>采购需求</w:t>
      </w:r>
      <w:r>
        <w:rPr>
          <w:rFonts w:hint="eastAsia" w:ascii="宋体" w:hAnsi="宋体" w:cs="宋体"/>
          <w:color w:val="auto"/>
          <w:kern w:val="0"/>
          <w:sz w:val="21"/>
          <w:szCs w:val="21"/>
          <w:highlight w:val="none"/>
        </w:rPr>
        <w:t>”中“需求一览表”的技术要求条款逐条作出明确响应，并作出偏离说明。</w:t>
      </w:r>
    </w:p>
    <w:p>
      <w:pPr>
        <w:pStyle w:val="16"/>
        <w:spacing w:line="48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3.表格内容均需按要求填写并盖公章，不得留空，</w:t>
      </w:r>
      <w:r>
        <w:rPr>
          <w:rFonts w:hint="eastAsia" w:ascii="宋体" w:hAnsi="宋体" w:cs="宋体"/>
          <w:b/>
          <w:bCs/>
          <w:color w:val="auto"/>
          <w:kern w:val="0"/>
          <w:szCs w:val="21"/>
          <w:highlight w:val="none"/>
        </w:rPr>
        <w:t>否则按竞标无效处理。</w:t>
      </w:r>
    </w:p>
    <w:p>
      <w:pPr>
        <w:pStyle w:val="16"/>
        <w:spacing w:line="480" w:lineRule="auto"/>
        <w:ind w:firstLine="420" w:firstLineChars="200"/>
        <w:contextualSpacing/>
        <w:rPr>
          <w:rFonts w:ascii="宋体" w:hAnsi="宋体" w:eastAsia="宋体" w:cs="宋体"/>
          <w:color w:val="auto"/>
          <w:sz w:val="21"/>
          <w:szCs w:val="21"/>
          <w:highlight w:val="none"/>
        </w:rPr>
      </w:pPr>
    </w:p>
    <w:p>
      <w:pPr>
        <w:snapToGrid w:val="0"/>
        <w:spacing w:line="360" w:lineRule="auto"/>
        <w:rPr>
          <w:rFonts w:ascii="宋体" w:hAnsi="宋体" w:cs="宋体"/>
          <w:b/>
          <w:color w:val="auto"/>
          <w:sz w:val="30"/>
          <w:szCs w:val="30"/>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9.服务方案</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color w:val="auto"/>
          <w:highlight w:val="none"/>
          <w:lang w:val="zh-CN"/>
        </w:rPr>
      </w:pPr>
    </w:p>
    <w:p>
      <w:pPr>
        <w:rPr>
          <w:color w:val="auto"/>
          <w:highlight w:val="none"/>
          <w:lang w:val="zh-CN"/>
        </w:rPr>
      </w:pPr>
    </w:p>
    <w:p>
      <w:pPr>
        <w:pStyle w:val="3"/>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color w:val="auto"/>
          <w:highlight w:val="none"/>
          <w:lang w:val="zh-CN"/>
        </w:rPr>
      </w:pPr>
    </w:p>
    <w:p>
      <w:pPr>
        <w:rPr>
          <w:color w:val="auto"/>
          <w:highlight w:val="none"/>
          <w:lang w:val="zh-CN"/>
        </w:rPr>
      </w:pPr>
    </w:p>
    <w:p>
      <w:pPr>
        <w:pStyle w:val="3"/>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pPr>
        <w:pStyle w:val="3"/>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pPr>
        <w:rPr>
          <w:rFonts w:ascii="宋体" w:hAnsi="宋体" w:cs="宋体"/>
          <w:color w:val="auto"/>
          <w:kern w:val="0"/>
          <w:sz w:val="24"/>
          <w:highlight w:val="none"/>
          <w:lang w:val="zh-CN"/>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10.项目质量保障措施</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color w:val="auto"/>
          <w:highlight w:val="none"/>
          <w:lang w:val="zh-CN"/>
        </w:rPr>
      </w:pPr>
    </w:p>
    <w:p>
      <w:pPr>
        <w:rPr>
          <w:color w:val="auto"/>
          <w:highlight w:val="none"/>
          <w:lang w:val="zh-CN"/>
        </w:rPr>
      </w:pPr>
    </w:p>
    <w:p>
      <w:pPr>
        <w:pStyle w:val="3"/>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color w:val="auto"/>
          <w:highlight w:val="none"/>
          <w:lang w:val="zh-CN"/>
        </w:rPr>
      </w:pPr>
    </w:p>
    <w:p>
      <w:pPr>
        <w:rPr>
          <w:color w:val="auto"/>
          <w:highlight w:val="none"/>
          <w:lang w:val="zh-CN"/>
        </w:rPr>
      </w:pPr>
    </w:p>
    <w:p>
      <w:pPr>
        <w:pStyle w:val="3"/>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pPr>
        <w:pStyle w:val="3"/>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pPr>
        <w:pStyle w:val="3"/>
        <w:rPr>
          <w:rFonts w:ascii="宋体" w:hAnsi="宋体" w:cs="宋体"/>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11.项目实施人员一览表（如有要求）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22"/>
        <w:rPr>
          <w:color w:val="auto"/>
          <w:highlight w:val="none"/>
        </w:rPr>
      </w:pPr>
    </w:p>
    <w:p>
      <w:pPr>
        <w:spacing w:line="360" w:lineRule="auto"/>
        <w:rPr>
          <w:rFonts w:ascii="宋体" w:hAnsi="宋体" w:cs="宋体"/>
          <w:color w:val="auto"/>
          <w:kern w:val="0"/>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p>
      <w:pPr>
        <w:keepNext/>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响应截止时间前三年业绩及承担的主要工作情况，曾担任项目负责人的项目应列明细。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r>
    </w:tbl>
    <w:p>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pPr>
        <w:autoSpaceDE w:val="0"/>
        <w:autoSpaceDN w:val="0"/>
        <w:spacing w:line="360" w:lineRule="auto"/>
        <w:rPr>
          <w:rFonts w:ascii="宋体" w:hAnsi="宋体" w:cs="宋体"/>
          <w:b/>
          <w:color w:val="auto"/>
          <w:sz w:val="24"/>
          <w:highlight w:val="none"/>
        </w:rPr>
      </w:pPr>
    </w:p>
    <w:p>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highlight w:val="none"/>
              </w:rPr>
            </w:pPr>
          </w:p>
        </w:tc>
      </w:tr>
    </w:tbl>
    <w:p>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pPr>
        <w:snapToGrid w:val="0"/>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firstLine="6505" w:firstLineChars="2700"/>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pPr>
        <w:autoSpaceDE w:val="0"/>
        <w:autoSpaceDN w:val="0"/>
        <w:spacing w:line="360" w:lineRule="auto"/>
        <w:ind w:firstLine="8131" w:firstLineChars="2700"/>
        <w:rPr>
          <w:rFonts w:ascii="仿宋_GB2312" w:hAnsi="仿宋" w:eastAsia="仿宋_GB2312" w:cs="仿宋_GB2312"/>
          <w:b/>
          <w:bCs/>
          <w:color w:val="auto"/>
          <w:sz w:val="24"/>
          <w:highlight w:val="none"/>
        </w:rPr>
      </w:pPr>
      <w:r>
        <w:rPr>
          <w:rFonts w:hint="eastAsia" w:ascii="仿宋" w:hAnsi="仿宋" w:eastAsia="仿宋" w:cs="仿宋_GB2312"/>
          <w:b/>
          <w:color w:val="auto"/>
          <w:sz w:val="30"/>
          <w:szCs w:val="30"/>
          <w:highlight w:val="none"/>
        </w:rPr>
        <w:br w:type="page"/>
      </w:r>
    </w:p>
    <w:p>
      <w:pPr>
        <w:pStyle w:val="4"/>
        <w:jc w:val="center"/>
        <w:rPr>
          <w:rFonts w:ascii="宋体" w:hAnsi="宋体"/>
          <w:color w:val="auto"/>
          <w:highlight w:val="none"/>
        </w:rPr>
      </w:pPr>
      <w:bookmarkStart w:id="145" w:name="_Toc80205941"/>
      <w:bookmarkStart w:id="146" w:name="_Toc12611"/>
      <w:bookmarkStart w:id="147" w:name="_Toc31035"/>
      <w:bookmarkStart w:id="148" w:name="_Toc80886945"/>
      <w:r>
        <w:rPr>
          <w:rFonts w:hint="eastAsia" w:ascii="宋体" w:hAnsi="宋体"/>
          <w:color w:val="auto"/>
          <w:highlight w:val="none"/>
        </w:rPr>
        <w:t>第三节 报价文件格式</w:t>
      </w:r>
      <w:bookmarkEnd w:id="145"/>
      <w:bookmarkEnd w:id="146"/>
      <w:bookmarkEnd w:id="147"/>
      <w:bookmarkEnd w:id="148"/>
    </w:p>
    <w:p>
      <w:pPr>
        <w:pStyle w:val="22"/>
        <w:rPr>
          <w:color w:val="auto"/>
          <w:highlight w:val="none"/>
          <w:lang w:val="zh-CN"/>
        </w:rPr>
      </w:pPr>
      <w:r>
        <w:rPr>
          <w:rFonts w:hint="eastAsia"/>
          <w:color w:val="auto"/>
          <w:sz w:val="24"/>
          <w:highlight w:val="none"/>
        </w:rPr>
        <w:t xml:space="preserve">  </w:t>
      </w:r>
      <w:r>
        <w:rPr>
          <w:rFonts w:hint="eastAsia" w:ascii="宋体" w:hAnsi="宋体" w:cs="宋体"/>
          <w:b/>
          <w:bCs/>
          <w:color w:val="auto"/>
          <w:sz w:val="28"/>
          <w:szCs w:val="28"/>
          <w:highlight w:val="none"/>
        </w:rPr>
        <w:t>1.报价文件封面的格式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报 </w:t>
      </w:r>
      <w:r>
        <w:rPr>
          <w:rFonts w:ascii="仿宋" w:hAnsi="仿宋" w:eastAsia="仿宋" w:cs="仿宋"/>
          <w:bCs/>
          <w:color w:val="auto"/>
          <w:sz w:val="44"/>
          <w:szCs w:val="44"/>
          <w:highlight w:val="none"/>
        </w:rPr>
        <w:t xml:space="preserve"> </w:t>
      </w:r>
      <w:r>
        <w:rPr>
          <w:rFonts w:hint="eastAsia" w:ascii="仿宋" w:hAnsi="仿宋" w:eastAsia="仿宋" w:cs="仿宋"/>
          <w:bCs/>
          <w:color w:val="auto"/>
          <w:sz w:val="44"/>
          <w:szCs w:val="44"/>
          <w:highlight w:val="none"/>
        </w:rPr>
        <w:t>价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8"/>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720" w:firstLineChars="225"/>
        <w:rPr>
          <w:rFonts w:cs="仿宋_GB2312"/>
          <w:bCs/>
          <w:color w:val="auto"/>
          <w:sz w:val="32"/>
          <w:szCs w:val="32"/>
          <w:highlight w:val="none"/>
        </w:rPr>
      </w:pPr>
    </w:p>
    <w:p>
      <w:pPr>
        <w:pStyle w:val="8"/>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color w:val="auto"/>
          <w:sz w:val="28"/>
          <w:szCs w:val="28"/>
          <w:highlight w:val="none"/>
        </w:rPr>
      </w:pPr>
      <w:r>
        <w:rPr>
          <w:color w:val="auto"/>
          <w:sz w:val="24"/>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根据竞争性磋商文件规定及供应商提供的材料自行编写目录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pPr>
        <w:spacing w:line="360" w:lineRule="auto"/>
        <w:rPr>
          <w:rFonts w:ascii="仿宋_GB2312" w:hAnsi="仿宋" w:eastAsia="仿宋_GB2312" w:cs="仿宋_GB2312"/>
          <w:color w:val="auto"/>
          <w:sz w:val="24"/>
          <w:highlight w:val="none"/>
        </w:rPr>
      </w:pP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val="zh-CN"/>
        </w:rPr>
        <w:t>响应函的格式：</w:t>
      </w:r>
    </w:p>
    <w:p>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pPr>
        <w:spacing w:line="460" w:lineRule="exact"/>
        <w:rPr>
          <w:color w:val="auto"/>
          <w:kern w:val="0"/>
          <w:sz w:val="24"/>
          <w:highlight w:val="none"/>
        </w:rPr>
      </w:pPr>
    </w:p>
    <w:p>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pPr>
        <w:spacing w:line="460" w:lineRule="exact"/>
        <w:ind w:firstLine="480" w:firstLineChars="200"/>
        <w:rPr>
          <w:rFonts w:ascii="宋体" w:hAnsi="宋体" w:cs="宋体"/>
          <w:color w:val="auto"/>
          <w:kern w:val="0"/>
          <w:sz w:val="24"/>
          <w:highlight w:val="none"/>
        </w:rPr>
      </w:pP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）的竞争性磋商文件的全部内容，现正式递交下述文件参加贵方组织的本次政府采购活动： </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一、首次报价文件电子版（包含按“第三章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三、资格证明文件电子版（包含按“第三章供应商须知”提交的全部文件）。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据此函，我方兹宣布：</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1、我方愿意以磋商时</w:t>
      </w:r>
      <w:r>
        <w:rPr>
          <w:rFonts w:hint="eastAsia" w:hAnsi="宋体" w:cs="宋体"/>
          <w:color w:val="auto"/>
          <w:sz w:val="24"/>
          <w:highlight w:val="none"/>
        </w:rPr>
        <w:t>提交的最后报价表中的竞标总</w:t>
      </w:r>
      <w:r>
        <w:rPr>
          <w:rFonts w:hint="eastAsia" w:ascii="宋体" w:hAnsi="宋体" w:cs="宋体"/>
          <w:color w:val="auto"/>
          <w:sz w:val="24"/>
          <w:highlight w:val="none"/>
        </w:rPr>
        <w:t>报价</w:t>
      </w:r>
      <w:r>
        <w:rPr>
          <w:rFonts w:hint="eastAsia" w:hAnsi="宋体" w:cs="宋体"/>
          <w:color w:val="auto"/>
          <w:sz w:val="24"/>
          <w:highlight w:val="none"/>
        </w:rPr>
        <w:t>，在承诺的</w:t>
      </w:r>
      <w:r>
        <w:rPr>
          <w:rFonts w:hint="eastAsia" w:ascii="宋体" w:hAnsi="宋体" w:cs="宋体"/>
          <w:color w:val="auto"/>
          <w:kern w:val="0"/>
          <w:sz w:val="24"/>
          <w:highlight w:val="none"/>
        </w:rPr>
        <w:t>服务期限</w:t>
      </w:r>
      <w:r>
        <w:rPr>
          <w:rFonts w:hint="eastAsia" w:hAnsi="宋体" w:cs="宋体"/>
          <w:color w:val="auto"/>
          <w:sz w:val="24"/>
          <w:highlight w:val="none"/>
        </w:rPr>
        <w:t>内</w:t>
      </w:r>
      <w:r>
        <w:rPr>
          <w:rFonts w:hint="eastAsia" w:ascii="宋体" w:hAnsi="宋体" w:cs="宋体"/>
          <w:color w:val="auto"/>
          <w:kern w:val="0"/>
          <w:sz w:val="24"/>
          <w:highlight w:val="none"/>
        </w:rPr>
        <w:t>提供本项目竞争性磋商文件第二章“采购需求”中相应的采购内容</w:t>
      </w:r>
      <w:r>
        <w:rPr>
          <w:rFonts w:hint="eastAsia" w:hAnsi="宋体" w:cs="宋体"/>
          <w:color w:val="auto"/>
          <w:sz w:val="24"/>
          <w:highlight w:val="none"/>
        </w:rPr>
        <w:t>，具体详见最后报价表</w:t>
      </w:r>
      <w:r>
        <w:rPr>
          <w:rFonts w:hint="eastAsia" w:ascii="宋体" w:hAnsi="宋体" w:cs="宋体"/>
          <w:color w:val="auto"/>
          <w:kern w:val="0"/>
          <w:sz w:val="24"/>
          <w:highlight w:val="none"/>
        </w:rPr>
        <w:t>。</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2、我方同意自本项目竞争性磋商文件采购公告规定的提交响应文件截止时间起遵循本响应函，并承诺在“第三章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3、我方在此声明，所递交的响应文件及有关资料内容完整、真实和准确。</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4、如本项目采购内容涉及须符合国家强制规定的，我方承诺我方本次竞标均符合国家有关强制规定。</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6、我方已详细审核竞争性磋商文件，我方知道必须放弃提出含糊不清或误解问题的权利。</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7、我方承诺满足竞争性磋商文件第六章“合同文本”的条款，承担完成合同的责任和义务。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8、我方同意应贵方要求提供与本竞标有关的任何数据或资料。若贵方需要，我方愿意提供我方作出的一切承诺的证明材料。</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9、我方完全理解贵方不一定接受响应报价最低的供应商为成交供应商的行为。</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在采购过程中与采购人进行协商磋商的；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11、以上事项如有虚假或者隐瞒，我方愿意承担一切后果，并不再寻求任何旨在减轻或者免除法律责任的辩解。</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12、与本磋商有关的一切正式往来信函请寄： </w:t>
      </w:r>
    </w:p>
    <w:p>
      <w:pPr>
        <w:spacing w:line="46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sz w:val="24"/>
          <w:highlight w:val="none"/>
        </w:rPr>
      </w:pPr>
      <w:r>
        <w:rPr>
          <w:rFonts w:hint="eastAsia" w:ascii="宋体" w:hAnsi="宋体" w:cs="宋体"/>
          <w:color w:val="auto"/>
          <w:kern w:val="0"/>
          <w:sz w:val="24"/>
          <w:highlight w:val="none"/>
        </w:rPr>
        <w:t>电子邮箱：</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pPr>
        <w:pStyle w:val="17"/>
        <w:tabs>
          <w:tab w:val="left" w:pos="939"/>
        </w:tabs>
        <w:spacing w:line="46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ascii="宋体" w:hAnsi="宋体" w:cs="宋体"/>
          <w:color w:val="auto"/>
          <w:szCs w:val="21"/>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500" w:lineRule="exact"/>
        <w:rPr>
          <w:rFonts w:ascii="宋体" w:hAnsi="宋体" w:cs="宋体"/>
          <w:b/>
          <w:color w:val="auto"/>
          <w:sz w:val="28"/>
          <w:szCs w:val="28"/>
          <w:highlight w:val="none"/>
        </w:rPr>
      </w:pPr>
    </w:p>
    <w:p>
      <w:pPr>
        <w:spacing w:line="500" w:lineRule="exact"/>
        <w:rPr>
          <w:rFonts w:ascii="仿宋" w:hAnsi="仿宋" w:eastAsia="仿宋" w:cs="仿宋_GB2312"/>
          <w:b/>
          <w:color w:val="auto"/>
          <w:sz w:val="30"/>
          <w:szCs w:val="30"/>
          <w:highlight w:val="none"/>
          <w:lang w:val="zh-CN"/>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w:t>
      </w:r>
      <w:r>
        <w:rPr>
          <w:rFonts w:hint="eastAsia" w:ascii="宋体" w:hAnsi="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pacing w:line="520" w:lineRule="exact"/>
        <w:jc w:val="center"/>
        <w:rPr>
          <w:b/>
          <w:bCs/>
          <w:color w:val="auto"/>
          <w:sz w:val="32"/>
          <w:szCs w:val="32"/>
          <w:highlight w:val="none"/>
        </w:rPr>
      </w:pPr>
      <w:r>
        <w:rPr>
          <w:rFonts w:hint="eastAsia"/>
          <w:b/>
          <w:bCs/>
          <w:color w:val="auto"/>
          <w:sz w:val="32"/>
          <w:szCs w:val="32"/>
          <w:highlight w:val="none"/>
        </w:rPr>
        <w:t>响应报价表</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实施周期:</w:t>
            </w:r>
          </w:p>
        </w:tc>
      </w:tr>
    </w:tbl>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w:t>
      </w:r>
      <w:r>
        <w:rPr>
          <w:rFonts w:hint="eastAsia" w:ascii="宋体" w:hAnsi="宋体" w:cs="宋体"/>
          <w:color w:val="auto"/>
          <w:sz w:val="24"/>
          <w:highlight w:val="none"/>
        </w:rPr>
        <w:t>备注除外</w:t>
      </w:r>
      <w:r>
        <w:rPr>
          <w:rFonts w:hint="eastAsia" w:ascii="宋体" w:hAnsi="宋体" w:cs="宋体"/>
          <w:color w:val="auto"/>
          <w:kern w:val="0"/>
          <w:sz w:val="24"/>
          <w:highlight w:val="none"/>
          <w:lang w:val="zh-CN"/>
        </w:rPr>
        <w:t>）, 如有多分标，按分标分别提供响应报价表，</w:t>
      </w:r>
      <w:r>
        <w:rPr>
          <w:rFonts w:hint="eastAsia" w:ascii="宋体" w:hAnsi="宋体" w:cs="宋体"/>
          <w:b/>
          <w:color w:val="auto"/>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rPr>
        <w:t>请</w:t>
      </w:r>
      <w:r>
        <w:rPr>
          <w:rFonts w:hint="eastAsia" w:ascii="宋体" w:hAnsi="宋体" w:cs="宋体"/>
          <w:color w:val="auto"/>
          <w:sz w:val="24"/>
          <w:highlight w:val="none"/>
        </w:rPr>
        <w:t>根据所竞</w:t>
      </w:r>
      <w:r>
        <w:rPr>
          <w:rFonts w:hint="eastAsia" w:hAnsi="宋体" w:cs="宋体"/>
          <w:color w:val="auto"/>
          <w:sz w:val="24"/>
          <w:highlight w:val="none"/>
        </w:rPr>
        <w:t>服务内容</w:t>
      </w:r>
      <w:r>
        <w:rPr>
          <w:rFonts w:hint="eastAsia" w:ascii="宋体" w:hAnsi="宋体" w:cs="宋体"/>
          <w:color w:val="auto"/>
          <w:sz w:val="24"/>
          <w:highlight w:val="none"/>
        </w:rPr>
        <w:t>，逐条对应本项目竞争性磋商文件“第二章 采购需求”中“技术要求”的</w:t>
      </w:r>
      <w:r>
        <w:rPr>
          <w:rFonts w:hint="eastAsia" w:hAnsi="宋体" w:cs="宋体"/>
          <w:color w:val="auto"/>
          <w:sz w:val="24"/>
          <w:highlight w:val="none"/>
        </w:rPr>
        <w:t>内容</w:t>
      </w:r>
      <w:r>
        <w:rPr>
          <w:rFonts w:hint="eastAsia" w:ascii="宋体" w:hAnsi="宋体" w:cs="宋体"/>
          <w:color w:val="auto"/>
          <w:sz w:val="24"/>
          <w:highlight w:val="none"/>
        </w:rPr>
        <w:t>详细填写相应的具体内容。</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4、特别提示：采购代理机构将对项目名称和项目编号，成交供应商名称、地址和成交金额，主要成交标的的名称、服务范围、服务要求、服务时间、服务标准等予以公示。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firstLine="4560" w:firstLineChars="1900"/>
        <w:rPr>
          <w:rFonts w:ascii="宋体" w:hAnsi="宋体" w:cs="宋体"/>
          <w:color w:val="auto"/>
          <w:kern w:val="0"/>
          <w:sz w:val="24"/>
          <w:highlight w:val="none"/>
        </w:rPr>
      </w:pPr>
    </w:p>
    <w:p>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500" w:lineRule="exact"/>
        <w:ind w:firstLine="6360" w:firstLineChars="2650"/>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pPr>
        <w:spacing w:line="500" w:lineRule="exact"/>
        <w:rPr>
          <w:rFonts w:ascii="仿宋" w:hAnsi="仿宋" w:eastAsia="仿宋" w:cs="仿宋_GB2312"/>
          <w:b/>
          <w:color w:val="auto"/>
          <w:sz w:val="30"/>
          <w:szCs w:val="30"/>
          <w:highlight w:val="none"/>
          <w:lang w:val="zh-CN"/>
        </w:rPr>
      </w:pPr>
      <w:r>
        <w:rPr>
          <w:rFonts w:hint="eastAsia" w:ascii="宋体" w:hAnsi="宋体" w:cs="宋体"/>
          <w:color w:val="auto"/>
          <w:kern w:val="0"/>
          <w:sz w:val="24"/>
          <w:szCs w:val="21"/>
          <w:highlight w:val="none"/>
          <w:lang w:val="zh-CN"/>
        </w:rPr>
        <w:br w:type="page"/>
      </w:r>
      <w:r>
        <w:rPr>
          <w:rFonts w:hint="eastAsia" w:ascii="宋体" w:hAnsi="宋体" w:cs="宋体"/>
          <w:b/>
          <w:color w:val="auto"/>
          <w:sz w:val="28"/>
          <w:szCs w:val="28"/>
          <w:highlight w:val="none"/>
        </w:rPr>
        <w:t>5.</w:t>
      </w:r>
      <w:r>
        <w:rPr>
          <w:rFonts w:hint="eastAsia" w:ascii="宋体" w:hAnsi="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pacing w:line="520" w:lineRule="exact"/>
        <w:ind w:firstLine="420" w:firstLineChars="200"/>
        <w:rPr>
          <w:rFonts w:ascii="Calibri" w:hAnsi="Calibri"/>
          <w:color w:val="auto"/>
          <w:highlight w:val="none"/>
        </w:rPr>
      </w:pPr>
    </w:p>
    <w:p>
      <w:pPr>
        <w:spacing w:line="520" w:lineRule="exact"/>
        <w:jc w:val="center"/>
        <w:rPr>
          <w:b/>
          <w:bCs/>
          <w:color w:val="auto"/>
          <w:sz w:val="32"/>
          <w:szCs w:val="32"/>
          <w:highlight w:val="none"/>
        </w:rPr>
      </w:pPr>
      <w:r>
        <w:rPr>
          <w:rFonts w:hint="eastAsia"/>
          <w:b/>
          <w:bCs/>
          <w:color w:val="auto"/>
          <w:sz w:val="32"/>
          <w:szCs w:val="32"/>
          <w:highlight w:val="none"/>
        </w:rPr>
        <w:t>最后报价表</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实施周期:</w:t>
            </w:r>
          </w:p>
        </w:tc>
      </w:tr>
    </w:tbl>
    <w:p>
      <w:pPr>
        <w:rPr>
          <w:color w:val="auto"/>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 xml:space="preserve">                </w:t>
      </w:r>
    </w:p>
    <w:p>
      <w:pPr>
        <w:autoSpaceDE w:val="0"/>
        <w:autoSpaceDN w:val="0"/>
        <w:spacing w:line="360" w:lineRule="auto"/>
        <w:ind w:firstLine="4560" w:firstLineChars="1900"/>
        <w:rPr>
          <w:rFonts w:ascii="宋体" w:hAnsi="宋体" w:cs="宋体"/>
          <w:color w:val="auto"/>
          <w:kern w:val="0"/>
          <w:sz w:val="24"/>
          <w:highlight w:val="none"/>
        </w:rPr>
      </w:pPr>
    </w:p>
    <w:p>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pPr>
        <w:pStyle w:val="4"/>
        <w:jc w:val="center"/>
        <w:rPr>
          <w:rFonts w:ascii="宋体" w:hAnsi="宋体"/>
          <w:b w:val="0"/>
          <w:color w:val="auto"/>
          <w:highlight w:val="none"/>
        </w:rPr>
      </w:pPr>
      <w:bookmarkStart w:id="149" w:name="_Toc13936"/>
      <w:bookmarkStart w:id="150" w:name="_Toc18482"/>
      <w:bookmarkStart w:id="151" w:name="_Toc80886946"/>
      <w:bookmarkStart w:id="152" w:name="_Toc80205942"/>
      <w:r>
        <w:rPr>
          <w:rFonts w:hint="eastAsia" w:ascii="宋体" w:hAnsi="宋体"/>
          <w:color w:val="auto"/>
          <w:highlight w:val="none"/>
        </w:rPr>
        <w:t>第四节 其他文书、文件格式</w:t>
      </w:r>
      <w:bookmarkEnd w:id="149"/>
      <w:bookmarkEnd w:id="150"/>
      <w:bookmarkEnd w:id="151"/>
      <w:bookmarkEnd w:id="152"/>
    </w:p>
    <w:p>
      <w:pPr>
        <w:spacing w:line="500" w:lineRule="exact"/>
        <w:rPr>
          <w:rFonts w:ascii="宋体" w:hAnsi="宋体" w:cs="宋体"/>
          <w:b/>
          <w:color w:val="auto"/>
          <w:sz w:val="30"/>
          <w:szCs w:val="30"/>
          <w:highlight w:val="none"/>
          <w:lang w:val="zh-CN"/>
        </w:rPr>
      </w:pPr>
      <w:r>
        <w:rPr>
          <w:rFonts w:hint="eastAsia" w:ascii="宋体" w:hAnsi="宋体" w:cs="宋体"/>
          <w:b/>
          <w:color w:val="auto"/>
          <w:sz w:val="30"/>
          <w:szCs w:val="30"/>
          <w:highlight w:val="none"/>
        </w:rPr>
        <w:t>1.</w:t>
      </w:r>
      <w:r>
        <w:rPr>
          <w:rFonts w:hint="eastAsia" w:ascii="宋体" w:hAnsi="宋体" w:cs="宋体"/>
          <w:b/>
          <w:color w:val="auto"/>
          <w:sz w:val="30"/>
          <w:szCs w:val="30"/>
          <w:highlight w:val="none"/>
          <w:lang w:val="zh-CN"/>
        </w:rPr>
        <w:t>中小企业声明函的格式：</w:t>
      </w:r>
    </w:p>
    <w:p>
      <w:pPr>
        <w:pStyle w:val="22"/>
        <w:rPr>
          <w:rFonts w:ascii="宋体" w:hAnsi="宋体" w:cs="宋体"/>
          <w:color w:val="auto"/>
          <w:highlight w:val="none"/>
        </w:rPr>
      </w:pPr>
    </w:p>
    <w:p>
      <w:pPr>
        <w:spacing w:line="300" w:lineRule="auto"/>
        <w:ind w:firstLine="3520" w:firstLineChars="800"/>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pPr>
        <w:pStyle w:val="2"/>
        <w:spacing w:after="0" w:line="360" w:lineRule="auto"/>
        <w:ind w:left="-426" w:right="142" w:firstLine="640"/>
        <w:contextualSpacing/>
        <w:rPr>
          <w:rFonts w:ascii="宋体" w:hAnsi="宋体" w:cs="宋体"/>
          <w:color w:val="auto"/>
          <w:sz w:val="24"/>
          <w:highlight w:val="none"/>
        </w:rPr>
      </w:pPr>
    </w:p>
    <w:p>
      <w:pPr>
        <w:pStyle w:val="2"/>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w:t>
      </w:r>
      <w:r>
        <w:rPr>
          <w:rFonts w:hint="eastAsia" w:ascii="宋体" w:hAnsi="宋体" w:cs="宋体"/>
          <w:color w:val="auto"/>
          <w:kern w:val="0"/>
          <w:sz w:val="24"/>
          <w:highlight w:val="none"/>
        </w:rPr>
        <w:t>服务全部由符合政策要求的中小企业承接</w:t>
      </w:r>
      <w:r>
        <w:rPr>
          <w:rFonts w:hint="eastAsia" w:ascii="宋体" w:hAnsi="宋体" w:cs="宋体"/>
          <w:color w:val="auto"/>
          <w:sz w:val="24"/>
          <w:highlight w:val="none"/>
        </w:rPr>
        <w:t>。相关企业（含联合体中的</w:t>
      </w:r>
      <w:r>
        <w:rPr>
          <w:rFonts w:hint="eastAsia" w:ascii="宋体" w:hAnsi="宋体" w:cs="宋体"/>
          <w:color w:val="auto"/>
          <w:kern w:val="0"/>
          <w:sz w:val="24"/>
          <w:highlight w:val="none"/>
        </w:rPr>
        <w:t>中小</w:t>
      </w:r>
      <w:r>
        <w:rPr>
          <w:rFonts w:hint="eastAsia" w:ascii="宋体" w:hAnsi="宋体" w:cs="宋体"/>
          <w:color w:val="auto"/>
          <w:sz w:val="24"/>
          <w:highlight w:val="none"/>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pStyle w:val="2"/>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pPr>
        <w:pStyle w:val="2"/>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pStyle w:val="2"/>
        <w:spacing w:after="0" w:line="360" w:lineRule="auto"/>
        <w:ind w:left="3960" w:right="1808"/>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pStyle w:val="2"/>
        <w:spacing w:after="0" w:line="360" w:lineRule="auto"/>
        <w:ind w:left="3960" w:right="1808"/>
        <w:contextualSpacing/>
        <w:rPr>
          <w:rFonts w:ascii="宋体" w:hAnsi="宋体" w:cs="宋体"/>
          <w:color w:val="auto"/>
          <w:highlight w:val="none"/>
        </w:rPr>
      </w:pPr>
    </w:p>
    <w:p>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color w:val="auto"/>
          <w:sz w:val="32"/>
          <w:szCs w:val="32"/>
          <w:highlight w:val="none"/>
        </w:rPr>
        <w:sectPr>
          <w:pgSz w:w="11911" w:h="16838"/>
          <w:pgMar w:top="1134" w:right="1134" w:bottom="1134" w:left="1134" w:header="720" w:footer="720" w:gutter="0"/>
          <w:cols w:space="720" w:num="1"/>
        </w:sectPr>
      </w:pPr>
    </w:p>
    <w:p>
      <w:pPr>
        <w:spacing w:line="520" w:lineRule="exact"/>
        <w:rPr>
          <w:rFonts w:hAnsi="宋体" w:cs="宋体"/>
          <w:b/>
          <w:color w:val="auto"/>
          <w:sz w:val="28"/>
          <w:szCs w:val="28"/>
          <w:highlight w:val="none"/>
        </w:rPr>
      </w:pPr>
      <w:r>
        <w:rPr>
          <w:rFonts w:hint="eastAsia" w:ascii="宋体" w:hAnsi="宋体" w:cs="宋体"/>
          <w:b/>
          <w:color w:val="auto"/>
          <w:sz w:val="28"/>
          <w:szCs w:val="28"/>
          <w:highlight w:val="none"/>
        </w:rPr>
        <w:t>2.</w:t>
      </w:r>
      <w:r>
        <w:rPr>
          <w:rFonts w:hint="eastAsia" w:hAnsi="宋体" w:cs="宋体"/>
          <w:b/>
          <w:color w:val="auto"/>
          <w:sz w:val="28"/>
          <w:szCs w:val="28"/>
          <w:highlight w:val="none"/>
        </w:rPr>
        <w:t>残疾人福利性单位声明函的格式：</w:t>
      </w:r>
    </w:p>
    <w:p>
      <w:pPr>
        <w:pStyle w:val="22"/>
        <w:rPr>
          <w:color w:val="auto"/>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残疾人福利性单位声明函</w:t>
      </w:r>
    </w:p>
    <w:p>
      <w:pPr>
        <w:spacing w:line="520" w:lineRule="exact"/>
        <w:rPr>
          <w:rFonts w:ascii="宋体" w:hAnsi="宋体" w:cs="宋体"/>
          <w:color w:val="auto"/>
          <w:sz w:val="32"/>
          <w:szCs w:val="32"/>
          <w:highlight w:val="none"/>
        </w:rPr>
      </w:pPr>
    </w:p>
    <w:p>
      <w:pPr>
        <w:spacing w:line="360" w:lineRule="auto"/>
        <w:ind w:firstLine="480" w:firstLineChars="200"/>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供应商名称（盖公章）：</w:t>
      </w:r>
    </w:p>
    <w:p>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widowControl/>
        <w:shd w:val="clear" w:color="auto" w:fill="FFFFFF"/>
        <w:spacing w:line="480" w:lineRule="atLeast"/>
        <w:rPr>
          <w:rFonts w:ascii="宋体" w:hAnsi="宋体" w:cs="宋体"/>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广西壮族自治区政府采购项目合同验收书的格式：</w:t>
      </w:r>
    </w:p>
    <w:p>
      <w:pPr>
        <w:spacing w:line="360" w:lineRule="auto"/>
        <w:ind w:firstLine="480" w:firstLineChars="200"/>
        <w:contextualSpacing/>
        <w:rPr>
          <w:rFonts w:cs="仿宋_GB2312"/>
          <w:color w:val="auto"/>
          <w:sz w:val="24"/>
          <w:highlight w:val="none"/>
        </w:rPr>
      </w:pP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根据政府采购项目（</w:t>
      </w:r>
      <w:r>
        <w:rPr>
          <w:rFonts w:hint="eastAsia" w:ascii="宋体" w:hAnsi="宋体" w:cs="宋体"/>
          <w:color w:val="auto"/>
          <w:kern w:val="0"/>
          <w:sz w:val="24"/>
          <w:highlight w:val="none"/>
          <w:u w:val="single"/>
        </w:rPr>
        <w:t>采购合同编号：</w:t>
      </w:r>
      <w:r>
        <w:rPr>
          <w:rFonts w:hint="eastAsia" w:ascii="宋体" w:hAnsi="宋体" w:cs="宋体"/>
          <w:color w:val="auto"/>
          <w:kern w:val="0"/>
          <w:sz w:val="24"/>
          <w:highlight w:val="none"/>
          <w:u w:val="single"/>
        </w:rPr>
        <w:softHyphen/>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）的约定，我单位对（</w:t>
      </w:r>
      <w:r>
        <w:rPr>
          <w:rFonts w:hint="eastAsia" w:ascii="宋体" w:hAnsi="宋体" w:cs="宋体"/>
          <w:color w:val="auto"/>
          <w:kern w:val="0"/>
          <w:sz w:val="24"/>
          <w:highlight w:val="none"/>
          <w:u w:val="single"/>
        </w:rPr>
        <w:t xml:space="preserve"> 项目名称 </w:t>
      </w:r>
      <w:r>
        <w:rPr>
          <w:rFonts w:hint="eastAsia" w:ascii="宋体" w:hAnsi="宋体" w:cs="宋体"/>
          <w:color w:val="auto"/>
          <w:kern w:val="0"/>
          <w:sz w:val="24"/>
          <w:highlight w:val="none"/>
        </w:rPr>
        <w:t>） 政府采购项目成交供应商（</w:t>
      </w:r>
      <w:r>
        <w:rPr>
          <w:rFonts w:hint="eastAsia" w:ascii="宋体" w:hAnsi="宋体" w:cs="宋体"/>
          <w:color w:val="auto"/>
          <w:kern w:val="0"/>
          <w:sz w:val="24"/>
          <w:highlight w:val="none"/>
          <w:u w:val="single"/>
        </w:rPr>
        <w:t xml:space="preserve"> 公司名称 </w:t>
      </w:r>
      <w:r>
        <w:rPr>
          <w:rFonts w:hint="eastAsia" w:ascii="宋体" w:hAnsi="宋体" w:cs="宋体"/>
          <w:color w:val="auto"/>
          <w:kern w:val="0"/>
          <w:sz w:val="24"/>
          <w:highlight w:val="none"/>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宋体" w:hAnsi="宋体" w:cs="宋体"/>
                <w:color w:val="auto"/>
                <w:kern w:val="0"/>
                <w:szCs w:val="21"/>
                <w:highlight w:val="none"/>
              </w:rPr>
              <w:t>□</w:t>
            </w:r>
            <w:r>
              <w:rPr>
                <w:rFonts w:ascii="Verdana" w:hAnsi="Verdana" w:cs="宋体"/>
                <w:color w:val="auto"/>
                <w:kern w:val="0"/>
                <w:szCs w:val="21"/>
                <w:highlight w:val="none"/>
              </w:rPr>
              <w:t xml:space="preserve">自行验收 </w:t>
            </w:r>
            <w:r>
              <w:rPr>
                <w:rFonts w:hint="eastAsia" w:ascii="宋体" w:hAnsi="宋体" w:cs="宋体"/>
                <w:color w:val="auto"/>
                <w:kern w:val="0"/>
                <w:szCs w:val="21"/>
                <w:highlight w:val="none"/>
              </w:rPr>
              <w:t>□</w:t>
            </w:r>
            <w:r>
              <w:rPr>
                <w:rFonts w:ascii="Verdana" w:hAnsi="Verdana" w:cs="宋体"/>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rPr>
          <w:rFonts w:ascii="宋体" w:hAnsi="宋体" w:cs="宋体"/>
          <w:color w:val="auto"/>
          <w:sz w:val="28"/>
          <w:szCs w:val="28"/>
          <w:highlight w:val="none"/>
        </w:rPr>
      </w:pPr>
      <w:r>
        <w:rPr>
          <w:rFonts w:hAnsi="宋体"/>
          <w:color w:val="auto"/>
          <w:highlight w:val="none"/>
        </w:rPr>
        <w:br w:type="page"/>
      </w:r>
      <w:r>
        <w:rPr>
          <w:rFonts w:hint="eastAsia" w:ascii="宋体" w:hAnsi="宋体" w:cs="宋体"/>
          <w:color w:val="auto"/>
          <w:sz w:val="28"/>
          <w:szCs w:val="28"/>
          <w:highlight w:val="none"/>
        </w:rPr>
        <w:t>4.政府采购项目履约保证金退付意见书的格式：</w:t>
      </w:r>
    </w:p>
    <w:p>
      <w:pPr>
        <w:pStyle w:val="19"/>
        <w:snapToGrid w:val="0"/>
        <w:rPr>
          <w:rFonts w:ascii="黑体" w:hAnsi="黑体" w:eastAsia="黑体" w:cs="黑体"/>
          <w:color w:val="auto"/>
          <w:sz w:val="32"/>
          <w:szCs w:val="32"/>
          <w:highlight w:val="none"/>
        </w:rPr>
      </w:pPr>
    </w:p>
    <w:p>
      <w:pPr>
        <w:pStyle w:val="11"/>
        <w:rPr>
          <w:color w:val="auto"/>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ascii="黑体" w:hAnsi="黑体" w:eastAsia="黑体"/>
          <w:color w:val="auto"/>
          <w:sz w:val="36"/>
          <w:szCs w:val="36"/>
          <w:highlight w:val="none"/>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rPr>
              <w:t>（大写）</w:t>
            </w:r>
            <w:r>
              <w:rPr>
                <w:rFonts w:hint="eastAsia"/>
                <w:color w:val="auto"/>
                <w:sz w:val="24"/>
                <w:highlight w:val="none"/>
                <w:u w:val="single"/>
              </w:rPr>
              <w:t xml:space="preserve">人民币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退付到达以下账户。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账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采购人签章：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备注</w:t>
            </w:r>
          </w:p>
        </w:tc>
        <w:tc>
          <w:tcPr>
            <w:tcW w:w="8009" w:type="dxa"/>
          </w:tcPr>
          <w:p>
            <w:pPr>
              <w:rPr>
                <w:color w:val="auto"/>
                <w:sz w:val="24"/>
                <w:highlight w:val="none"/>
              </w:rPr>
            </w:pPr>
          </w:p>
        </w:tc>
      </w:tr>
    </w:tbl>
    <w:p>
      <w:pPr>
        <w:pStyle w:val="2"/>
        <w:ind w:left="1" w:firstLine="1" w:firstLineChars="1"/>
        <w:rPr>
          <w:rFonts w:ascii="宋体"/>
          <w:b/>
          <w:bCs/>
          <w:color w:val="auto"/>
          <w:sz w:val="18"/>
          <w:szCs w:val="18"/>
          <w:highlight w:val="none"/>
        </w:rPr>
      </w:pPr>
    </w:p>
    <w:p>
      <w:pPr>
        <w:pStyle w:val="2"/>
        <w:ind w:left="1" w:firstLine="1" w:firstLineChars="1"/>
        <w:rPr>
          <w:rFonts w:ascii="宋体"/>
          <w:b/>
          <w:bCs/>
          <w:color w:val="auto"/>
          <w:sz w:val="18"/>
          <w:szCs w:val="18"/>
          <w:highlight w:val="none"/>
        </w:rPr>
      </w:pPr>
      <w:r>
        <w:rPr>
          <w:rFonts w:hint="eastAsia" w:ascii="宋体"/>
          <w:b/>
          <w:bCs/>
          <w:color w:val="auto"/>
          <w:sz w:val="18"/>
          <w:szCs w:val="18"/>
          <w:highlight w:val="none"/>
        </w:rPr>
        <w:t>　　　注：供应商凭经采购人审批的退付意见书到履约保证金收取单位财务部门办理履约保证金退付事宜。</w:t>
      </w:r>
    </w:p>
    <w:p>
      <w:pPr>
        <w:shd w:val="clear" w:color="auto" w:fill="FFFFFF"/>
        <w:spacing w:line="360" w:lineRule="auto"/>
        <w:ind w:firstLine="2349" w:firstLineChars="1300"/>
        <w:jc w:val="left"/>
        <w:rPr>
          <w:color w:val="auto"/>
          <w:sz w:val="24"/>
          <w:highlight w:val="none"/>
        </w:rPr>
      </w:pPr>
      <w:r>
        <w:rPr>
          <w:rFonts w:hint="eastAsia" w:ascii="宋体"/>
          <w:b/>
          <w:bCs/>
          <w:color w:val="auto"/>
          <w:sz w:val="18"/>
          <w:szCs w:val="18"/>
          <w:highlight w:val="none"/>
        </w:rPr>
        <w:br w:type="page"/>
      </w:r>
    </w:p>
    <w:p>
      <w:pPr>
        <w:pStyle w:val="3"/>
        <w:jc w:val="center"/>
        <w:rPr>
          <w:b w:val="0"/>
          <w:bCs w:val="0"/>
          <w:color w:val="auto"/>
          <w:highlight w:val="none"/>
        </w:rPr>
      </w:pPr>
      <w:bookmarkStart w:id="153" w:name="_Toc15161"/>
      <w:bookmarkStart w:id="154" w:name="_Toc80886947"/>
      <w:bookmarkStart w:id="155" w:name="_Toc18676"/>
      <w:bookmarkStart w:id="156" w:name="_Toc9343"/>
      <w:bookmarkStart w:id="157" w:name="_Toc15154"/>
      <w:bookmarkStart w:id="158" w:name="_Toc24786"/>
      <w:bookmarkStart w:id="159" w:name="_Toc4005"/>
      <w:bookmarkStart w:id="160" w:name="_Toc12748"/>
    </w:p>
    <w:p>
      <w:pPr>
        <w:pStyle w:val="3"/>
        <w:jc w:val="center"/>
        <w:rPr>
          <w:b w:val="0"/>
          <w:bCs w:val="0"/>
          <w:color w:val="auto"/>
          <w:highlight w:val="none"/>
        </w:rPr>
      </w:pPr>
    </w:p>
    <w:p>
      <w:pPr>
        <w:pStyle w:val="3"/>
        <w:jc w:val="center"/>
        <w:rPr>
          <w:b w:val="0"/>
          <w:bCs w:val="0"/>
          <w:color w:val="auto"/>
          <w:highlight w:val="none"/>
        </w:rPr>
      </w:pPr>
    </w:p>
    <w:p>
      <w:pPr>
        <w:pStyle w:val="3"/>
        <w:jc w:val="center"/>
        <w:rPr>
          <w:b w:val="0"/>
          <w:bCs w:val="0"/>
          <w:color w:val="auto"/>
          <w:highlight w:val="none"/>
        </w:rPr>
      </w:pPr>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53"/>
      <w:bookmarkEnd w:id="154"/>
      <w:bookmarkEnd w:id="155"/>
      <w:bookmarkEnd w:id="156"/>
      <w:bookmarkEnd w:id="157"/>
      <w:bookmarkEnd w:id="158"/>
      <w:bookmarkEnd w:id="159"/>
    </w:p>
    <w:p>
      <w:pPr>
        <w:snapToGrid w:val="0"/>
        <w:rPr>
          <w:rFonts w:ascii="宋体" w:hAnsi="宋体" w:cs="宋体"/>
          <w:b/>
          <w:bCs/>
          <w:color w:val="auto"/>
          <w:sz w:val="32"/>
          <w:szCs w:val="32"/>
          <w:highlight w:val="none"/>
        </w:rPr>
      </w:pPr>
      <w:r>
        <w:rPr>
          <w:b/>
          <w:bCs/>
          <w:color w:val="auto"/>
          <w:highlight w:val="none"/>
        </w:rPr>
        <w:br w:type="page"/>
      </w:r>
      <w:bookmarkEnd w:id="160"/>
    </w:p>
    <w:p>
      <w:pPr>
        <w:snapToGrid w:val="0"/>
        <w:spacing w:line="480" w:lineRule="exact"/>
        <w:jc w:val="center"/>
        <w:rPr>
          <w:rFonts w:ascii="宋体" w:hAnsi="宋体"/>
          <w:b/>
          <w:bCs/>
          <w:color w:val="auto"/>
          <w:sz w:val="32"/>
          <w:szCs w:val="32"/>
          <w:highlight w:val="none"/>
        </w:rPr>
      </w:pPr>
    </w:p>
    <w:p>
      <w:pPr>
        <w:snapToGrid w:val="0"/>
        <w:spacing w:line="480" w:lineRule="exact"/>
        <w:jc w:val="center"/>
        <w:rPr>
          <w:rFonts w:ascii="宋体" w:hAnsi="宋体"/>
          <w:b/>
          <w:bCs/>
          <w:color w:val="auto"/>
          <w:sz w:val="32"/>
          <w:szCs w:val="32"/>
          <w:highlight w:val="none"/>
        </w:rPr>
      </w:pPr>
      <w:bookmarkStart w:id="161" w:name="OLE_LINK11"/>
      <w:r>
        <w:rPr>
          <w:rFonts w:hint="eastAsia" w:ascii="宋体" w:hAnsi="宋体"/>
          <w:b/>
          <w:bCs/>
          <w:color w:val="auto"/>
          <w:sz w:val="32"/>
          <w:szCs w:val="32"/>
          <w:highlight w:val="none"/>
        </w:rPr>
        <w:t>《广西壮族自治区政府采购合同》</w:t>
      </w:r>
    </w:p>
    <w:bookmarkEnd w:id="161"/>
    <w:p>
      <w:pPr>
        <w:snapToGrid w:val="0"/>
        <w:spacing w:line="480" w:lineRule="exact"/>
        <w:ind w:right="480" w:firstLine="5250" w:firstLineChars="2500"/>
        <w:rPr>
          <w:rFonts w:ascii="宋体" w:hAnsi="宋体"/>
          <w:bCs/>
          <w:color w:val="auto"/>
          <w:szCs w:val="21"/>
          <w:highlight w:val="none"/>
        </w:rPr>
      </w:pPr>
    </w:p>
    <w:p>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w:t>
      </w:r>
      <w:r>
        <w:rPr>
          <w:rFonts w:hint="eastAsia" w:ascii="宋体" w:hAnsi="宋体"/>
          <w:color w:val="auto"/>
          <w:szCs w:val="21"/>
          <w:highlight w:val="none"/>
        </w:rPr>
        <w:t>文件规定条款和乙方响应文件及其承诺，甲乙双方签订本合同。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10"/>
        <w:gridCol w:w="2463"/>
        <w:gridCol w:w="912"/>
        <w:gridCol w:w="863"/>
        <w:gridCol w:w="131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43"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pStyle w:val="22"/>
        <w:rPr>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乙方需配合甲方做好绩效考核。</w:t>
      </w:r>
    </w:p>
    <w:p>
      <w:pPr>
        <w:spacing w:line="500" w:lineRule="exact"/>
        <w:ind w:firstLine="421" w:firstLineChars="200"/>
        <w:rPr>
          <w:rFonts w:ascii="宋体" w:hAnsi="宋体" w:cs="宋体"/>
          <w:color w:val="auto"/>
          <w:szCs w:val="21"/>
          <w:highlight w:val="none"/>
        </w:rPr>
      </w:pPr>
      <w:bookmarkStart w:id="162" w:name="OLE_LINK10"/>
      <w:r>
        <w:rPr>
          <w:rFonts w:hint="eastAsia" w:ascii="宋体" w:hAnsi="宋体" w:cs="宋体"/>
          <w:b/>
          <w:color w:val="auto"/>
          <w:szCs w:val="21"/>
          <w:highlight w:val="none"/>
        </w:rPr>
        <w:t>第三条　权利保证</w:t>
      </w:r>
    </w:p>
    <w:bookmarkEnd w:id="162"/>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bookmarkStart w:id="163" w:name="OLE_LINK12"/>
      <w:r>
        <w:rPr>
          <w:rFonts w:hint="eastAsia" w:ascii="宋体" w:hAnsi="宋体" w:cs="宋体"/>
          <w:color w:val="auto"/>
          <w:szCs w:val="21"/>
          <w:highlight w:val="none"/>
        </w:rPr>
        <w:t>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bookmarkEnd w:id="163"/>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bookmarkStart w:id="164" w:name="OLE_LINK13"/>
      <w:r>
        <w:rPr>
          <w:rFonts w:hint="eastAsia" w:ascii="宋体" w:hAnsi="宋体" w:cs="宋体"/>
          <w:color w:val="auto"/>
          <w:szCs w:val="21"/>
          <w:highlight w:val="none"/>
        </w:rPr>
        <w:t>如乙方违反保密义务，应承担全部责任，包括但不限于直接损失、间接损失、律师费、财产保全保函费、鉴定费等</w:t>
      </w:r>
      <w:bookmarkEnd w:id="164"/>
      <w:r>
        <w:rPr>
          <w:rFonts w:hint="eastAsia" w:ascii="宋体" w:hAnsi="宋体" w:cs="宋体"/>
          <w:color w:val="auto"/>
          <w:szCs w:val="21"/>
          <w:highlight w:val="none"/>
        </w:rPr>
        <w:t>。</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第四条　成果交付</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合同履约期限</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500" w:lineRule="exact"/>
        <w:ind w:firstLine="630" w:firstLineChars="300"/>
        <w:rPr>
          <w:rFonts w:ascii="宋体" w:hAnsi="宋体" w:cs="宋体"/>
          <w:color w:val="auto"/>
          <w:szCs w:val="21"/>
          <w:highlight w:val="none"/>
        </w:rPr>
      </w:pPr>
      <w:r>
        <w:rPr>
          <w:rFonts w:hint="eastAsia" w:ascii="宋体" w:hAnsi="宋体"/>
          <w:color w:val="auto"/>
          <w:szCs w:val="21"/>
          <w:highlight w:val="none"/>
        </w:rPr>
        <w:t>服务地点</w:t>
      </w:r>
      <w:r>
        <w:rPr>
          <w:rFonts w:hint="eastAsia" w:ascii="宋体" w:hAnsi="宋体" w:cs="宋体"/>
          <w:color w:val="auto"/>
          <w:szCs w:val="21"/>
          <w:highlight w:val="none"/>
        </w:rPr>
        <w:t>：</w:t>
      </w:r>
      <w:r>
        <w:rPr>
          <w:rFonts w:hint="eastAsia" w:ascii="宋体" w:hAnsi="宋体" w:cs="宋体"/>
          <w:color w:val="auto"/>
          <w:szCs w:val="21"/>
          <w:highlight w:val="none"/>
          <w:u w:val="single"/>
        </w:rPr>
        <w:t>广西境内（甲方指定地点）</w:t>
      </w:r>
      <w:r>
        <w:rPr>
          <w:rFonts w:hint="eastAsia" w:ascii="宋体" w:hAnsi="宋体" w:cs="宋体"/>
          <w:color w:val="auto"/>
          <w:szCs w:val="21"/>
          <w:highlight w:val="none"/>
        </w:rPr>
        <w:t>。</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赔偿因此造成的全部损失。</w:t>
      </w:r>
    </w:p>
    <w:p>
      <w:pPr>
        <w:spacing w:line="500" w:lineRule="exact"/>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b/>
          <w:color w:val="auto"/>
          <w:szCs w:val="21"/>
          <w:highlight w:val="none"/>
        </w:rPr>
        <w:t>售后服务及培训</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w:t>
      </w:r>
      <w:bookmarkStart w:id="165" w:name="OLE_LINK5"/>
      <w:r>
        <w:rPr>
          <w:rFonts w:hint="eastAsia" w:ascii="宋体" w:hAnsi="宋体" w:cs="宋体"/>
          <w:color w:val="auto"/>
          <w:szCs w:val="21"/>
          <w:highlight w:val="none"/>
        </w:rPr>
        <w:t>售后服务方案</w:t>
      </w:r>
      <w:bookmarkEnd w:id="165"/>
      <w:r>
        <w:rPr>
          <w:rFonts w:hint="eastAsia" w:ascii="宋体" w:hAnsi="宋体" w:cs="宋体"/>
          <w:color w:val="auto"/>
          <w:szCs w:val="21"/>
          <w:highlight w:val="none"/>
        </w:rPr>
        <w:t>》要求为甲方提供相应的售后服务。</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3、乙方负责甲方有关人员的培训（如有）。培训时间、地点：</w:t>
      </w:r>
      <w:r>
        <w:rPr>
          <w:rFonts w:hint="eastAsia" w:ascii="宋体" w:hAnsi="宋体" w:cs="宋体"/>
          <w:color w:val="auto"/>
          <w:szCs w:val="21"/>
          <w:highlight w:val="none"/>
          <w:u w:val="single"/>
        </w:rPr>
        <w:t xml:space="preserve">甲方指定时间及地点 </w:t>
      </w:r>
      <w:r>
        <w:rPr>
          <w:rFonts w:hint="eastAsia" w:ascii="宋体" w:hAnsi="宋体" w:cs="宋体"/>
          <w:color w:val="auto"/>
          <w:szCs w:val="21"/>
          <w:highlight w:val="none"/>
        </w:rPr>
        <w:t>。</w:t>
      </w:r>
    </w:p>
    <w:p>
      <w:pPr>
        <w:spacing w:line="500" w:lineRule="exact"/>
        <w:ind w:firstLine="421" w:firstLineChars="200"/>
        <w:rPr>
          <w:rFonts w:ascii="宋体" w:hAnsi="宋体" w:cs="宋体"/>
          <w:b/>
          <w:bCs/>
          <w:color w:val="auto"/>
          <w:szCs w:val="21"/>
          <w:highlight w:val="none"/>
        </w:rPr>
      </w:pPr>
      <w:r>
        <w:rPr>
          <w:rFonts w:hint="eastAsia" w:ascii="宋体" w:hAnsi="宋体" w:cs="宋体"/>
          <w:b/>
          <w:bCs/>
          <w:color w:val="auto"/>
          <w:szCs w:val="21"/>
          <w:highlight w:val="none"/>
        </w:rPr>
        <w:t>第六条  付款方式</w:t>
      </w:r>
    </w:p>
    <w:p>
      <w:pPr>
        <w:spacing w:line="5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本项目不收取履约保证金。</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本合同执行中相关的一切税费均由乙方负担，合同另有约定的除外。</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除不可抗力原因外，乙方没有按照合同规定的时间提供服务或履行其他合同义务的，甲方可要求乙方支付违约金。每推迟一天提供服务按合同金额的3‰支付违约金，该违约金累计不超过合同金额的10%。如乙方未能履行其他合同义务（如技术支持、售后服务等），甲方有权要求乙方支付合同金额20%的违约金。若乙方延迟超过3天，甲方有权解除合同并要求乙方赔偿因此造成的全部损失。                                  </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3、甲方延期付款的，每天向乙方偿付延期款额3‰滞纳金，但滞纳金累计不得超过延期款额5%。</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2、不可抗力事件发生后，应立即通知对方，并寄送有关权威机构出具的证明。</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3、不可抗力事件延续一百二十天以上，双方应通过友好协商，确定是否继续履行合同。</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3、诉讼期间，本合同继续履行。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　</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1、合同经双方法定代表人或授权代表签字并加盖单位公章后生效</w:t>
      </w:r>
      <w:r>
        <w:rPr>
          <w:rFonts w:hint="eastAsia" w:ascii="宋体" w:hAnsi="宋体" w:cs="宋体"/>
          <w:color w:val="auto"/>
          <w:szCs w:val="21"/>
          <w:highlight w:val="none"/>
        </w:rPr>
        <w:t>（委托代理人签字的需后附授权委托书，格式自拟）</w:t>
      </w:r>
      <w:r>
        <w:rPr>
          <w:rFonts w:hint="eastAsia" w:ascii="宋体" w:hAnsi="宋体" w:cs="宋体"/>
          <w:bCs/>
          <w:color w:val="auto"/>
          <w:szCs w:val="21"/>
          <w:highlight w:val="none"/>
        </w:rPr>
        <w:t>。</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2、合同执行中涉及采购资金和采购内容修改或补充的，须经财政部门审批，并签书面补充协议报财政部门备案，方可作为主合同不可分割的一部分。</w:t>
      </w:r>
    </w:p>
    <w:p>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s="宋体"/>
          <w:bCs/>
          <w:color w:val="auto"/>
          <w:szCs w:val="21"/>
          <w:highlight w:val="none"/>
        </w:rPr>
        <w:t>》有关条文执行。</w:t>
      </w:r>
    </w:p>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 xml:space="preserve">第十三条  </w:t>
      </w:r>
      <w:bookmarkStart w:id="166" w:name="OLE_LINK15"/>
      <w:r>
        <w:rPr>
          <w:rFonts w:hint="eastAsia" w:ascii="宋体" w:hAnsi="宋体" w:cs="宋体"/>
          <w:b/>
          <w:color w:val="auto"/>
          <w:szCs w:val="21"/>
          <w:highlight w:val="none"/>
        </w:rPr>
        <w:t>合同的变更、终止与转让</w:t>
      </w:r>
    </w:p>
    <w:bookmarkEnd w:id="166"/>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pPr>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2、乙方不得擅自转让</w:t>
      </w:r>
      <w:bookmarkStart w:id="167" w:name="OLE_LINK16"/>
      <w:r>
        <w:rPr>
          <w:rFonts w:hint="eastAsia" w:ascii="宋体" w:hAnsi="宋体" w:cs="宋体"/>
          <w:color w:val="auto"/>
          <w:szCs w:val="21"/>
          <w:highlight w:val="none"/>
        </w:rPr>
        <w:t>其应履行的合同义务</w:t>
      </w:r>
      <w:bookmarkEnd w:id="167"/>
      <w:r>
        <w:rPr>
          <w:rFonts w:hint="eastAsia" w:ascii="宋体" w:hAnsi="宋体" w:cs="宋体"/>
          <w:color w:val="auto"/>
          <w:szCs w:val="21"/>
          <w:highlight w:val="none"/>
        </w:rPr>
        <w:t>。</w:t>
      </w:r>
      <w:bookmarkStart w:id="168" w:name="OLE_LINK17"/>
      <w:bookmarkStart w:id="169" w:name="OLE_LINK14"/>
      <w:r>
        <w:rPr>
          <w:rFonts w:hint="eastAsia" w:ascii="宋体" w:hAnsi="宋体" w:cs="宋体"/>
          <w:color w:val="auto"/>
          <w:szCs w:val="21"/>
          <w:highlight w:val="none"/>
        </w:rPr>
        <w:t>如乙方擅自转让其应履行的合同义务，甲方有权解除合同，有权要求乙方支付20%的违约金</w:t>
      </w:r>
      <w:bookmarkEnd w:id="168"/>
      <w:r>
        <w:rPr>
          <w:rFonts w:hint="eastAsia" w:ascii="宋体" w:hAnsi="宋体" w:cs="宋体"/>
          <w:color w:val="auto"/>
          <w:szCs w:val="21"/>
          <w:highlight w:val="none"/>
        </w:rPr>
        <w:t>。</w:t>
      </w:r>
    </w:p>
    <w:bookmarkEnd w:id="169"/>
    <w:p>
      <w:pPr>
        <w:spacing w:line="500" w:lineRule="exact"/>
        <w:ind w:firstLine="421"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2、响应报价表及最后报价表；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3、商务条款偏离表和服务需求偏离表；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4、服务方案；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pPr>
        <w:spacing w:line="500" w:lineRule="exact"/>
        <w:ind w:firstLine="421"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eastAsia="zh-CN"/>
        </w:rPr>
        <w:t>捌</w:t>
      </w:r>
      <w:r>
        <w:rPr>
          <w:rFonts w:hint="eastAsia" w:ascii="宋体" w:hAnsi="宋体" w:cs="宋体"/>
          <w:color w:val="auto"/>
          <w:szCs w:val="21"/>
          <w:highlight w:val="none"/>
        </w:rPr>
        <w:t>份，具有同等法律效力，财政部门（政府采购监管部门）、采购代理机构各壹份，甲乙双方各</w:t>
      </w:r>
      <w:r>
        <w:rPr>
          <w:rFonts w:hint="eastAsia" w:ascii="宋体" w:hAnsi="宋体" w:cs="宋体"/>
          <w:color w:val="auto"/>
          <w:szCs w:val="21"/>
          <w:highlight w:val="none"/>
          <w:lang w:eastAsia="zh-CN"/>
        </w:rPr>
        <w:t>叁</w:t>
      </w:r>
      <w:r>
        <w:rPr>
          <w:rFonts w:hint="eastAsia" w:ascii="宋体" w:hAnsi="宋体" w:cs="宋体"/>
          <w:color w:val="auto"/>
          <w:szCs w:val="21"/>
          <w:highlight w:val="none"/>
        </w:rPr>
        <w:t>份（可根据需要另增加）。</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本合同甲乙双方签字盖章后生效，自签订之日起七个工作日内，采购人应当将合同副本报同级财政部门备案。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500" w:lineRule="exact"/>
              <w:rPr>
                <w:rFonts w:ascii="宋体" w:hAnsi="宋体"/>
                <w:color w:val="auto"/>
                <w:szCs w:val="21"/>
                <w:highlight w:val="none"/>
              </w:rPr>
            </w:pPr>
          </w:p>
          <w:p>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500" w:lineRule="exact"/>
              <w:rPr>
                <w:rFonts w:ascii="宋体" w:hAnsi="宋体"/>
                <w:color w:val="auto"/>
                <w:szCs w:val="21"/>
                <w:highlight w:val="none"/>
              </w:rPr>
            </w:pPr>
          </w:p>
          <w:p>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tcPr>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vAlign w:val="center"/>
          </w:tcPr>
          <w:p>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pPr>
        <w:spacing w:line="480" w:lineRule="exact"/>
        <w:jc w:val="center"/>
        <w:rPr>
          <w:rFonts w:ascii="宋体" w:hAnsi="宋体" w:cs="宋体"/>
          <w:b/>
          <w:bCs/>
          <w:color w:val="auto"/>
          <w:kern w:val="0"/>
          <w:szCs w:val="21"/>
          <w:highlight w:val="none"/>
        </w:rPr>
      </w:pPr>
    </w:p>
    <w:p>
      <w:pPr>
        <w:rPr>
          <w:rFonts w:ascii="宋体" w:hAnsi="宋体" w:cs="宋体"/>
          <w:color w:val="auto"/>
          <w:szCs w:val="21"/>
          <w:highlight w:val="none"/>
        </w:rPr>
      </w:pPr>
    </w:p>
    <w:p>
      <w:pPr>
        <w:rPr>
          <w:rFonts w:cs="仿宋_GB2312"/>
          <w:b/>
          <w:color w:val="auto"/>
          <w:sz w:val="44"/>
          <w:szCs w:val="44"/>
          <w:highlight w:val="none"/>
        </w:rPr>
      </w:pPr>
      <w:r>
        <w:rPr>
          <w:rFonts w:cs="仿宋_GB2312"/>
          <w:b/>
          <w:color w:val="auto"/>
          <w:sz w:val="44"/>
          <w:szCs w:val="44"/>
          <w:highlight w:val="none"/>
        </w:rPr>
        <w:br w:type="page"/>
      </w:r>
    </w:p>
    <w:p>
      <w:pPr>
        <w:pStyle w:val="3"/>
        <w:rPr>
          <w:color w:val="auto"/>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pStyle w:val="3"/>
        <w:jc w:val="center"/>
        <w:rPr>
          <w:rFonts w:cs="仿宋_GB2312"/>
          <w:b w:val="0"/>
          <w:color w:val="auto"/>
          <w:highlight w:val="none"/>
        </w:rPr>
      </w:pPr>
      <w:bookmarkStart w:id="170" w:name="_Toc28283"/>
      <w:bookmarkStart w:id="171" w:name="_Toc80886951"/>
      <w:bookmarkStart w:id="172" w:name="_Toc178"/>
      <w:bookmarkStart w:id="173" w:name="_Toc29624"/>
      <w:bookmarkStart w:id="174" w:name="_Toc20915"/>
      <w:bookmarkStart w:id="175" w:name="_Toc13011"/>
      <w:bookmarkStart w:id="176" w:name="_Toc610"/>
      <w:bookmarkStart w:id="177" w:name="_Toc8963"/>
    </w:p>
    <w:p>
      <w:pPr>
        <w:pStyle w:val="3"/>
        <w:jc w:val="center"/>
        <w:rPr>
          <w:rFonts w:cs="仿宋_GB2312"/>
          <w:b w:val="0"/>
          <w:color w:val="auto"/>
          <w:highlight w:val="none"/>
        </w:rPr>
      </w:pPr>
    </w:p>
    <w:p>
      <w:pPr>
        <w:pStyle w:val="3"/>
        <w:jc w:val="center"/>
        <w:rPr>
          <w:rFonts w:cs="仿宋_GB2312"/>
          <w:color w:val="auto"/>
          <w:highlight w:val="none"/>
        </w:rPr>
        <w:sectPr>
          <w:pgSz w:w="11911" w:h="16838"/>
          <w:pgMar w:top="1134" w:right="1134" w:bottom="1134" w:left="1134" w:header="720" w:footer="720" w:gutter="0"/>
          <w:cols w:space="720" w:num="1"/>
        </w:sectPr>
      </w:pPr>
      <w:r>
        <w:rPr>
          <w:rFonts w:hint="eastAsia" w:cs="仿宋_GB2312"/>
          <w:b w:val="0"/>
          <w:color w:val="auto"/>
          <w:highlight w:val="none"/>
        </w:rPr>
        <w:t>第七章 质疑、投诉材料格式</w:t>
      </w:r>
      <w:bookmarkEnd w:id="170"/>
      <w:bookmarkEnd w:id="171"/>
      <w:bookmarkEnd w:id="172"/>
      <w:bookmarkEnd w:id="173"/>
      <w:bookmarkEnd w:id="174"/>
      <w:bookmarkEnd w:id="175"/>
      <w:bookmarkEnd w:id="176"/>
      <w:bookmarkEnd w:id="177"/>
    </w:p>
    <w:p>
      <w:pPr>
        <w:spacing w:line="360" w:lineRule="auto"/>
        <w:jc w:val="center"/>
        <w:rPr>
          <w:b/>
          <w:bCs/>
          <w:color w:val="auto"/>
          <w:sz w:val="32"/>
          <w:szCs w:val="32"/>
          <w:highlight w:val="none"/>
        </w:rPr>
      </w:pPr>
      <w:r>
        <w:rPr>
          <w:rFonts w:hint="eastAsia"/>
          <w:b/>
          <w:bCs/>
          <w:color w:val="auto"/>
          <w:sz w:val="32"/>
          <w:szCs w:val="32"/>
          <w:highlight w:val="none"/>
        </w:rPr>
        <w:t>质疑函（格式）</w:t>
      </w:r>
    </w:p>
    <w:p>
      <w:pPr>
        <w:spacing w:line="360" w:lineRule="auto"/>
        <w:ind w:firstLine="481"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1"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contextualSpacing/>
        <w:rPr>
          <w:b/>
          <w:color w:val="auto"/>
          <w:kern w:val="0"/>
          <w:sz w:val="24"/>
          <w:highlight w:val="none"/>
        </w:rPr>
      </w:pPr>
    </w:p>
    <w:p>
      <w:pPr>
        <w:spacing w:line="360" w:lineRule="auto"/>
        <w:contextualSpacing/>
        <w:rPr>
          <w:b/>
          <w:color w:val="auto"/>
          <w:kern w:val="0"/>
          <w:sz w:val="24"/>
          <w:highlight w:val="none"/>
        </w:rPr>
      </w:pPr>
    </w:p>
    <w:p>
      <w:pPr>
        <w:spacing w:line="360" w:lineRule="auto"/>
        <w:contextualSpacing/>
        <w:rPr>
          <w:b/>
          <w:color w:val="auto"/>
          <w:kern w:val="0"/>
          <w:sz w:val="24"/>
          <w:highlight w:val="none"/>
        </w:rPr>
      </w:pPr>
      <w:r>
        <w:rPr>
          <w:rFonts w:hint="eastAsia"/>
          <w:b/>
          <w:color w:val="auto"/>
          <w:kern w:val="0"/>
          <w:sz w:val="24"/>
          <w:highlight w:val="none"/>
        </w:rPr>
        <w:t>说明：</w:t>
      </w:r>
    </w:p>
    <w:p>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pPr>
        <w:snapToGrid w:val="0"/>
        <w:rPr>
          <w:rFonts w:hAnsi="Courier New"/>
          <w:b/>
          <w:color w:val="auto"/>
          <w:kern w:val="0"/>
          <w:sz w:val="24"/>
          <w:highlight w:val="none"/>
        </w:rPr>
      </w:pPr>
    </w:p>
    <w:p>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pPr>
        <w:spacing w:line="360" w:lineRule="auto"/>
        <w:jc w:val="center"/>
        <w:rPr>
          <w:b/>
          <w:bCs/>
          <w:color w:val="auto"/>
          <w:sz w:val="32"/>
          <w:szCs w:val="32"/>
          <w:highlight w:val="none"/>
        </w:rPr>
      </w:pPr>
      <w:r>
        <w:rPr>
          <w:rFonts w:hint="eastAsia"/>
          <w:b/>
          <w:bCs/>
          <w:color w:val="auto"/>
          <w:sz w:val="32"/>
          <w:szCs w:val="32"/>
          <w:highlight w:val="none"/>
        </w:rPr>
        <w:t>投诉书（格式）</w:t>
      </w:r>
    </w:p>
    <w:p>
      <w:pPr>
        <w:snapToGrid w:val="0"/>
        <w:spacing w:line="360" w:lineRule="auto"/>
        <w:ind w:firstLine="481"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1"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pPr>
        <w:spacing w:line="360" w:lineRule="auto"/>
        <w:ind w:firstLine="241"/>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241"/>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采购人/采购代理机构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 xml:space="preserve">                                                                                 </w:t>
      </w:r>
    </w:p>
    <w:p>
      <w:pPr>
        <w:snapToGrid w:val="0"/>
        <w:spacing w:line="360" w:lineRule="auto"/>
        <w:rPr>
          <w:rFonts w:ascii="宋体" w:hAnsi="宋体" w:cs="宋体"/>
          <w:b/>
          <w:color w:val="auto"/>
          <w:kern w:val="0"/>
          <w:sz w:val="24"/>
          <w:highlight w:val="none"/>
        </w:rPr>
      </w:pPr>
    </w:p>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NanumBarunGothic"/>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GCJ0cC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rzXkmrEBAABOAwAADgAAAAAAAAABACAAAAA0AQAAZHJzL2Uyb0RvYy54&#10;bWxQSwUGAAAAAAYABgBZAQAAVwU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ZbY1u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BQD4CyAQAATgMAAA4AAAAAAAAAAQAgAAAANAEAAGRycy9lMm9Eb2Mu&#10;eG1sUEsFBgAAAAAGAAYAWQEAAFgFA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&gt;</w:t>
    </w:r>
  </w:p>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52C"/>
    <w:rsid w:val="01563B7D"/>
    <w:rsid w:val="015C7AD5"/>
    <w:rsid w:val="0168437B"/>
    <w:rsid w:val="01907316"/>
    <w:rsid w:val="01A433EB"/>
    <w:rsid w:val="01AF3D99"/>
    <w:rsid w:val="01B6221C"/>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893C18"/>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5E91ADB"/>
    <w:rsid w:val="05EC445F"/>
    <w:rsid w:val="06040198"/>
    <w:rsid w:val="060774EA"/>
    <w:rsid w:val="06083B9D"/>
    <w:rsid w:val="06211C5A"/>
    <w:rsid w:val="06737835"/>
    <w:rsid w:val="068C5A4E"/>
    <w:rsid w:val="06913258"/>
    <w:rsid w:val="06B25549"/>
    <w:rsid w:val="06B96E5F"/>
    <w:rsid w:val="06C91C0B"/>
    <w:rsid w:val="06D86BC4"/>
    <w:rsid w:val="06F43349"/>
    <w:rsid w:val="070C181F"/>
    <w:rsid w:val="072940AD"/>
    <w:rsid w:val="072E4C95"/>
    <w:rsid w:val="07325DEE"/>
    <w:rsid w:val="07633118"/>
    <w:rsid w:val="076D7821"/>
    <w:rsid w:val="07736840"/>
    <w:rsid w:val="078132CC"/>
    <w:rsid w:val="078627A3"/>
    <w:rsid w:val="07966D78"/>
    <w:rsid w:val="07A5201F"/>
    <w:rsid w:val="07A82607"/>
    <w:rsid w:val="07B72767"/>
    <w:rsid w:val="07C23DE6"/>
    <w:rsid w:val="08077E72"/>
    <w:rsid w:val="080E162A"/>
    <w:rsid w:val="08203C28"/>
    <w:rsid w:val="083B22F1"/>
    <w:rsid w:val="083C419B"/>
    <w:rsid w:val="083C4C73"/>
    <w:rsid w:val="084C5E23"/>
    <w:rsid w:val="0886060D"/>
    <w:rsid w:val="08882DD0"/>
    <w:rsid w:val="08A76D63"/>
    <w:rsid w:val="08BE34E2"/>
    <w:rsid w:val="08F76CFB"/>
    <w:rsid w:val="08F821C8"/>
    <w:rsid w:val="09006769"/>
    <w:rsid w:val="091A48F3"/>
    <w:rsid w:val="09783845"/>
    <w:rsid w:val="097E7AC3"/>
    <w:rsid w:val="09860032"/>
    <w:rsid w:val="09921955"/>
    <w:rsid w:val="09AB63DF"/>
    <w:rsid w:val="09CC2AAC"/>
    <w:rsid w:val="09D26E76"/>
    <w:rsid w:val="09DE2A8F"/>
    <w:rsid w:val="0A171D19"/>
    <w:rsid w:val="0A331AD7"/>
    <w:rsid w:val="0A3A3B56"/>
    <w:rsid w:val="0A4412A4"/>
    <w:rsid w:val="0A477589"/>
    <w:rsid w:val="0A5C3ECC"/>
    <w:rsid w:val="0A652D3E"/>
    <w:rsid w:val="0A6A1AA6"/>
    <w:rsid w:val="0A767E3E"/>
    <w:rsid w:val="0A9464E9"/>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1F1149"/>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7F4595"/>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1F03528"/>
    <w:rsid w:val="11F12DFD"/>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A84FF5"/>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8744B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EDD192"/>
    <w:rsid w:val="19F6165F"/>
    <w:rsid w:val="1A0B68A8"/>
    <w:rsid w:val="1A1B0F5C"/>
    <w:rsid w:val="1A232551"/>
    <w:rsid w:val="1A614813"/>
    <w:rsid w:val="1A782658"/>
    <w:rsid w:val="1A7D68F1"/>
    <w:rsid w:val="1A8573D4"/>
    <w:rsid w:val="1A867FDC"/>
    <w:rsid w:val="1A976C37"/>
    <w:rsid w:val="1AB74F63"/>
    <w:rsid w:val="1AC3132A"/>
    <w:rsid w:val="1AE94689"/>
    <w:rsid w:val="1AF65A4C"/>
    <w:rsid w:val="1AFF0AFE"/>
    <w:rsid w:val="1B34103B"/>
    <w:rsid w:val="1B39650C"/>
    <w:rsid w:val="1B4F19F8"/>
    <w:rsid w:val="1B5A1A13"/>
    <w:rsid w:val="1B5C2F75"/>
    <w:rsid w:val="1B6B7470"/>
    <w:rsid w:val="1BAE3D4C"/>
    <w:rsid w:val="1BC81E14"/>
    <w:rsid w:val="1BEE7729"/>
    <w:rsid w:val="1C100CC6"/>
    <w:rsid w:val="1C1A42E7"/>
    <w:rsid w:val="1C1F28DB"/>
    <w:rsid w:val="1C226F03"/>
    <w:rsid w:val="1C3F670D"/>
    <w:rsid w:val="1C55025E"/>
    <w:rsid w:val="1C9A50D4"/>
    <w:rsid w:val="1CA70C88"/>
    <w:rsid w:val="1CA823CD"/>
    <w:rsid w:val="1CB515F6"/>
    <w:rsid w:val="1CDE1F2F"/>
    <w:rsid w:val="1CE61E5F"/>
    <w:rsid w:val="1CF93E51"/>
    <w:rsid w:val="1D1C46B8"/>
    <w:rsid w:val="1D3943AC"/>
    <w:rsid w:val="1D69418F"/>
    <w:rsid w:val="1D7045C8"/>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54FF8"/>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070A1"/>
    <w:rsid w:val="20F25B07"/>
    <w:rsid w:val="211041C1"/>
    <w:rsid w:val="212B4272"/>
    <w:rsid w:val="21781212"/>
    <w:rsid w:val="21833156"/>
    <w:rsid w:val="21AB0864"/>
    <w:rsid w:val="21B47737"/>
    <w:rsid w:val="21B83F86"/>
    <w:rsid w:val="21E069CE"/>
    <w:rsid w:val="220B2CE7"/>
    <w:rsid w:val="22106A4D"/>
    <w:rsid w:val="221178A8"/>
    <w:rsid w:val="221213CF"/>
    <w:rsid w:val="22327A92"/>
    <w:rsid w:val="226E5BFE"/>
    <w:rsid w:val="22A16179"/>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BC326A"/>
    <w:rsid w:val="23C509CD"/>
    <w:rsid w:val="240D25B5"/>
    <w:rsid w:val="241E5A1E"/>
    <w:rsid w:val="24205BC8"/>
    <w:rsid w:val="242C0CB6"/>
    <w:rsid w:val="24354590"/>
    <w:rsid w:val="24571307"/>
    <w:rsid w:val="245F009A"/>
    <w:rsid w:val="247C7D19"/>
    <w:rsid w:val="24B34021"/>
    <w:rsid w:val="24BE0ABD"/>
    <w:rsid w:val="24C06D8A"/>
    <w:rsid w:val="24CB4B0D"/>
    <w:rsid w:val="24E91BBE"/>
    <w:rsid w:val="25110A2A"/>
    <w:rsid w:val="251513DA"/>
    <w:rsid w:val="251569DF"/>
    <w:rsid w:val="252F3220"/>
    <w:rsid w:val="25473008"/>
    <w:rsid w:val="25647DF0"/>
    <w:rsid w:val="256C0944"/>
    <w:rsid w:val="25773D5F"/>
    <w:rsid w:val="257E73F2"/>
    <w:rsid w:val="25A979D1"/>
    <w:rsid w:val="25B05051"/>
    <w:rsid w:val="25BE7679"/>
    <w:rsid w:val="25C00F8A"/>
    <w:rsid w:val="25D53DA4"/>
    <w:rsid w:val="25E410EC"/>
    <w:rsid w:val="25EC2CF7"/>
    <w:rsid w:val="261F4447"/>
    <w:rsid w:val="263050F1"/>
    <w:rsid w:val="26381F9B"/>
    <w:rsid w:val="26446DE3"/>
    <w:rsid w:val="267B0CDC"/>
    <w:rsid w:val="269669E7"/>
    <w:rsid w:val="26A744DB"/>
    <w:rsid w:val="26CF7759"/>
    <w:rsid w:val="26D4005A"/>
    <w:rsid w:val="26D7699F"/>
    <w:rsid w:val="26DA3B4A"/>
    <w:rsid w:val="26E26183"/>
    <w:rsid w:val="26E36ACC"/>
    <w:rsid w:val="26F73A2A"/>
    <w:rsid w:val="26FF2BB8"/>
    <w:rsid w:val="270417B7"/>
    <w:rsid w:val="27102C21"/>
    <w:rsid w:val="271B034D"/>
    <w:rsid w:val="27227C57"/>
    <w:rsid w:val="27233601"/>
    <w:rsid w:val="2750171F"/>
    <w:rsid w:val="275122E4"/>
    <w:rsid w:val="2769156F"/>
    <w:rsid w:val="27793F5D"/>
    <w:rsid w:val="27A2622E"/>
    <w:rsid w:val="27A60F83"/>
    <w:rsid w:val="27B8643F"/>
    <w:rsid w:val="27C12412"/>
    <w:rsid w:val="27D24FCB"/>
    <w:rsid w:val="27F92009"/>
    <w:rsid w:val="28124EAE"/>
    <w:rsid w:val="28785F5E"/>
    <w:rsid w:val="2895115B"/>
    <w:rsid w:val="28BA46FA"/>
    <w:rsid w:val="28BE38E2"/>
    <w:rsid w:val="28F14595"/>
    <w:rsid w:val="28F416F8"/>
    <w:rsid w:val="29063629"/>
    <w:rsid w:val="291137B2"/>
    <w:rsid w:val="2913753A"/>
    <w:rsid w:val="293D6B2E"/>
    <w:rsid w:val="294361DC"/>
    <w:rsid w:val="29462E61"/>
    <w:rsid w:val="295E2317"/>
    <w:rsid w:val="296B020D"/>
    <w:rsid w:val="297D3FFE"/>
    <w:rsid w:val="29802F8C"/>
    <w:rsid w:val="29AD0C8B"/>
    <w:rsid w:val="29BB39AC"/>
    <w:rsid w:val="29C5574F"/>
    <w:rsid w:val="29C67FA0"/>
    <w:rsid w:val="29CE1F49"/>
    <w:rsid w:val="29D00278"/>
    <w:rsid w:val="29D62A4E"/>
    <w:rsid w:val="29DC3BA0"/>
    <w:rsid w:val="29E509C9"/>
    <w:rsid w:val="29EF6C45"/>
    <w:rsid w:val="2A007C29"/>
    <w:rsid w:val="2A1769A3"/>
    <w:rsid w:val="2A4D3396"/>
    <w:rsid w:val="2A541720"/>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717B7"/>
    <w:rsid w:val="2CFE48F4"/>
    <w:rsid w:val="2CFF7BB9"/>
    <w:rsid w:val="2D04594C"/>
    <w:rsid w:val="2D0C5851"/>
    <w:rsid w:val="2D1C1975"/>
    <w:rsid w:val="2D1F543F"/>
    <w:rsid w:val="2D3E4B0D"/>
    <w:rsid w:val="2D446A9B"/>
    <w:rsid w:val="2D863EDD"/>
    <w:rsid w:val="2DA120C4"/>
    <w:rsid w:val="2DAC6336"/>
    <w:rsid w:val="2DC65BA0"/>
    <w:rsid w:val="2DD218DC"/>
    <w:rsid w:val="2DD85E2E"/>
    <w:rsid w:val="2E41718B"/>
    <w:rsid w:val="2E554EA6"/>
    <w:rsid w:val="2E5F03A4"/>
    <w:rsid w:val="2E627104"/>
    <w:rsid w:val="2E693FEF"/>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B24CE"/>
    <w:rsid w:val="318E6873"/>
    <w:rsid w:val="31B46ACE"/>
    <w:rsid w:val="31C559E0"/>
    <w:rsid w:val="31F51115"/>
    <w:rsid w:val="32003808"/>
    <w:rsid w:val="32172470"/>
    <w:rsid w:val="321A6930"/>
    <w:rsid w:val="323B2146"/>
    <w:rsid w:val="32432DA9"/>
    <w:rsid w:val="32453A27"/>
    <w:rsid w:val="3263064A"/>
    <w:rsid w:val="3265766A"/>
    <w:rsid w:val="327D2533"/>
    <w:rsid w:val="329842A9"/>
    <w:rsid w:val="329B7A68"/>
    <w:rsid w:val="32A43132"/>
    <w:rsid w:val="32AB00DA"/>
    <w:rsid w:val="32AC0C06"/>
    <w:rsid w:val="32AD0CCA"/>
    <w:rsid w:val="32C33CD3"/>
    <w:rsid w:val="32E04E37"/>
    <w:rsid w:val="32E15130"/>
    <w:rsid w:val="32FC18D5"/>
    <w:rsid w:val="33027836"/>
    <w:rsid w:val="3331060D"/>
    <w:rsid w:val="33344EF5"/>
    <w:rsid w:val="33496CCF"/>
    <w:rsid w:val="3378161D"/>
    <w:rsid w:val="339C3B02"/>
    <w:rsid w:val="33A05880"/>
    <w:rsid w:val="33A35F1E"/>
    <w:rsid w:val="33B22505"/>
    <w:rsid w:val="33C51EB6"/>
    <w:rsid w:val="33D36651"/>
    <w:rsid w:val="33E85CE2"/>
    <w:rsid w:val="33EC2DA4"/>
    <w:rsid w:val="341D0201"/>
    <w:rsid w:val="34246B9F"/>
    <w:rsid w:val="342A2472"/>
    <w:rsid w:val="342B0F4F"/>
    <w:rsid w:val="344D3742"/>
    <w:rsid w:val="347B2D6D"/>
    <w:rsid w:val="34AB2475"/>
    <w:rsid w:val="34B52163"/>
    <w:rsid w:val="34D72013"/>
    <w:rsid w:val="34DA5C46"/>
    <w:rsid w:val="34EB7D5F"/>
    <w:rsid w:val="34EE1C44"/>
    <w:rsid w:val="35293FD9"/>
    <w:rsid w:val="352C24DC"/>
    <w:rsid w:val="3537750C"/>
    <w:rsid w:val="3537798C"/>
    <w:rsid w:val="356E45E1"/>
    <w:rsid w:val="357005A7"/>
    <w:rsid w:val="357A579A"/>
    <w:rsid w:val="358E312C"/>
    <w:rsid w:val="35B30245"/>
    <w:rsid w:val="35C13FC9"/>
    <w:rsid w:val="35E07056"/>
    <w:rsid w:val="35E91989"/>
    <w:rsid w:val="35EF4FE4"/>
    <w:rsid w:val="35F2040C"/>
    <w:rsid w:val="35F9471D"/>
    <w:rsid w:val="36085EA6"/>
    <w:rsid w:val="36101C06"/>
    <w:rsid w:val="36266D8A"/>
    <w:rsid w:val="36343134"/>
    <w:rsid w:val="364257B6"/>
    <w:rsid w:val="36636B8E"/>
    <w:rsid w:val="36741335"/>
    <w:rsid w:val="369E4AB8"/>
    <w:rsid w:val="36AC6498"/>
    <w:rsid w:val="3705788F"/>
    <w:rsid w:val="371511B8"/>
    <w:rsid w:val="3724059E"/>
    <w:rsid w:val="3729538A"/>
    <w:rsid w:val="374E4FB2"/>
    <w:rsid w:val="376462CF"/>
    <w:rsid w:val="37725F65"/>
    <w:rsid w:val="37734E19"/>
    <w:rsid w:val="377868E8"/>
    <w:rsid w:val="379C5435"/>
    <w:rsid w:val="37DE378C"/>
    <w:rsid w:val="37EA5922"/>
    <w:rsid w:val="37F8621D"/>
    <w:rsid w:val="380C2E7F"/>
    <w:rsid w:val="38134D6C"/>
    <w:rsid w:val="381C20D2"/>
    <w:rsid w:val="38205CA3"/>
    <w:rsid w:val="38276B93"/>
    <w:rsid w:val="38336FC4"/>
    <w:rsid w:val="384D3BF2"/>
    <w:rsid w:val="386A2AA2"/>
    <w:rsid w:val="389430F0"/>
    <w:rsid w:val="38A5656B"/>
    <w:rsid w:val="38AC3431"/>
    <w:rsid w:val="38B9690B"/>
    <w:rsid w:val="38C26745"/>
    <w:rsid w:val="38CD0AA7"/>
    <w:rsid w:val="38E67108"/>
    <w:rsid w:val="38F06097"/>
    <w:rsid w:val="38FE35D2"/>
    <w:rsid w:val="38FE7A29"/>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22081"/>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925D6"/>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BF7C5B"/>
    <w:rsid w:val="3EC9706E"/>
    <w:rsid w:val="3ED818CD"/>
    <w:rsid w:val="3EE13701"/>
    <w:rsid w:val="3EE25742"/>
    <w:rsid w:val="3F0C10F2"/>
    <w:rsid w:val="3F0C5D2F"/>
    <w:rsid w:val="3F144FB4"/>
    <w:rsid w:val="3F1A4BB3"/>
    <w:rsid w:val="3F1B30E3"/>
    <w:rsid w:val="3F372168"/>
    <w:rsid w:val="3F4A64D9"/>
    <w:rsid w:val="3F571CFE"/>
    <w:rsid w:val="3F60225A"/>
    <w:rsid w:val="3F6525B0"/>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0E1210B"/>
    <w:rsid w:val="40FA2BFE"/>
    <w:rsid w:val="41071387"/>
    <w:rsid w:val="41126768"/>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13FA2"/>
    <w:rsid w:val="42CC751E"/>
    <w:rsid w:val="42E0276A"/>
    <w:rsid w:val="42E44134"/>
    <w:rsid w:val="42EB6093"/>
    <w:rsid w:val="42F473A1"/>
    <w:rsid w:val="42F61AFB"/>
    <w:rsid w:val="42F80FA5"/>
    <w:rsid w:val="4305361D"/>
    <w:rsid w:val="431C26D3"/>
    <w:rsid w:val="431F637C"/>
    <w:rsid w:val="432C2148"/>
    <w:rsid w:val="434E3AB8"/>
    <w:rsid w:val="43537F8A"/>
    <w:rsid w:val="43741014"/>
    <w:rsid w:val="43805D73"/>
    <w:rsid w:val="43D83C99"/>
    <w:rsid w:val="43DD4E0B"/>
    <w:rsid w:val="44107EE3"/>
    <w:rsid w:val="44191BBB"/>
    <w:rsid w:val="441E62C0"/>
    <w:rsid w:val="44380293"/>
    <w:rsid w:val="443E50E2"/>
    <w:rsid w:val="44406167"/>
    <w:rsid w:val="44967985"/>
    <w:rsid w:val="44974521"/>
    <w:rsid w:val="44C10289"/>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75D73"/>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153C"/>
    <w:rsid w:val="46FF778E"/>
    <w:rsid w:val="470A6193"/>
    <w:rsid w:val="471B4E2C"/>
    <w:rsid w:val="47385210"/>
    <w:rsid w:val="474C2DD7"/>
    <w:rsid w:val="474D5830"/>
    <w:rsid w:val="47543636"/>
    <w:rsid w:val="475C3001"/>
    <w:rsid w:val="475F022D"/>
    <w:rsid w:val="47625066"/>
    <w:rsid w:val="47690E29"/>
    <w:rsid w:val="47767EAB"/>
    <w:rsid w:val="47864E13"/>
    <w:rsid w:val="478F1033"/>
    <w:rsid w:val="479A5F27"/>
    <w:rsid w:val="47A837E0"/>
    <w:rsid w:val="47C63E08"/>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5A6EFE"/>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C863A1"/>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797F6B"/>
    <w:rsid w:val="4D922FBD"/>
    <w:rsid w:val="4D9A766C"/>
    <w:rsid w:val="4DA62246"/>
    <w:rsid w:val="4DB54B95"/>
    <w:rsid w:val="4DC17B81"/>
    <w:rsid w:val="4DC23F1C"/>
    <w:rsid w:val="4DEE41E3"/>
    <w:rsid w:val="4DF21879"/>
    <w:rsid w:val="4DF71805"/>
    <w:rsid w:val="4E0A3FBD"/>
    <w:rsid w:val="4E17231F"/>
    <w:rsid w:val="4E257655"/>
    <w:rsid w:val="4E263853"/>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8D7BB9"/>
    <w:rsid w:val="50BF67C9"/>
    <w:rsid w:val="50C85235"/>
    <w:rsid w:val="50CA0599"/>
    <w:rsid w:val="50ED7CC8"/>
    <w:rsid w:val="50FB62A0"/>
    <w:rsid w:val="511E0283"/>
    <w:rsid w:val="515158DB"/>
    <w:rsid w:val="515A7AB7"/>
    <w:rsid w:val="516623C4"/>
    <w:rsid w:val="51B05107"/>
    <w:rsid w:val="51C23892"/>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33AC0"/>
    <w:rsid w:val="52EB2FB5"/>
    <w:rsid w:val="5302663C"/>
    <w:rsid w:val="53376E09"/>
    <w:rsid w:val="53655BA8"/>
    <w:rsid w:val="53A303CC"/>
    <w:rsid w:val="53C03E02"/>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159E1"/>
    <w:rsid w:val="54A33454"/>
    <w:rsid w:val="54AB108A"/>
    <w:rsid w:val="54BA25DB"/>
    <w:rsid w:val="54C658F4"/>
    <w:rsid w:val="54CB45B1"/>
    <w:rsid w:val="54CF22DF"/>
    <w:rsid w:val="54E0494C"/>
    <w:rsid w:val="54E171CD"/>
    <w:rsid w:val="54E7784F"/>
    <w:rsid w:val="54FE2E33"/>
    <w:rsid w:val="550C4BD7"/>
    <w:rsid w:val="55322669"/>
    <w:rsid w:val="5539470A"/>
    <w:rsid w:val="554C1D56"/>
    <w:rsid w:val="55572986"/>
    <w:rsid w:val="555761AA"/>
    <w:rsid w:val="555E236D"/>
    <w:rsid w:val="555E38D2"/>
    <w:rsid w:val="55805785"/>
    <w:rsid w:val="55A82C22"/>
    <w:rsid w:val="55C062DD"/>
    <w:rsid w:val="55C84FE2"/>
    <w:rsid w:val="55E822CC"/>
    <w:rsid w:val="56051FA0"/>
    <w:rsid w:val="5607446A"/>
    <w:rsid w:val="56081243"/>
    <w:rsid w:val="56182C00"/>
    <w:rsid w:val="56245CC2"/>
    <w:rsid w:val="56330E85"/>
    <w:rsid w:val="5637484F"/>
    <w:rsid w:val="565340FA"/>
    <w:rsid w:val="565C3ECA"/>
    <w:rsid w:val="565F7902"/>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71C26"/>
    <w:rsid w:val="57893184"/>
    <w:rsid w:val="57A66BAB"/>
    <w:rsid w:val="57AA18F7"/>
    <w:rsid w:val="57D21B1D"/>
    <w:rsid w:val="57DD34B9"/>
    <w:rsid w:val="57E6392C"/>
    <w:rsid w:val="57F706C9"/>
    <w:rsid w:val="58017793"/>
    <w:rsid w:val="581B5AAA"/>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E7D17"/>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CEE378D"/>
    <w:rsid w:val="5D292A17"/>
    <w:rsid w:val="5D2C1215"/>
    <w:rsid w:val="5D4D4133"/>
    <w:rsid w:val="5D857790"/>
    <w:rsid w:val="5D861815"/>
    <w:rsid w:val="5D8936D2"/>
    <w:rsid w:val="5D914004"/>
    <w:rsid w:val="5DD80331"/>
    <w:rsid w:val="5DD95E29"/>
    <w:rsid w:val="5DDD16DD"/>
    <w:rsid w:val="5DF41766"/>
    <w:rsid w:val="5E015F08"/>
    <w:rsid w:val="5E615889"/>
    <w:rsid w:val="5E727AB0"/>
    <w:rsid w:val="5E847BF7"/>
    <w:rsid w:val="5E936FAE"/>
    <w:rsid w:val="5EAA1124"/>
    <w:rsid w:val="5EC0115A"/>
    <w:rsid w:val="5EC8520A"/>
    <w:rsid w:val="5ED25050"/>
    <w:rsid w:val="5F0341A4"/>
    <w:rsid w:val="5F0A7504"/>
    <w:rsid w:val="5F114CB9"/>
    <w:rsid w:val="5F174D94"/>
    <w:rsid w:val="5F4F5E24"/>
    <w:rsid w:val="5F561B72"/>
    <w:rsid w:val="5F7F1015"/>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B25CA0"/>
    <w:rsid w:val="65BE1AB2"/>
    <w:rsid w:val="65D06BA5"/>
    <w:rsid w:val="65DF7832"/>
    <w:rsid w:val="65F12154"/>
    <w:rsid w:val="661D63AD"/>
    <w:rsid w:val="661F2C0A"/>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1E6A42"/>
    <w:rsid w:val="682062DD"/>
    <w:rsid w:val="68264723"/>
    <w:rsid w:val="6828218F"/>
    <w:rsid w:val="68327BBE"/>
    <w:rsid w:val="68394457"/>
    <w:rsid w:val="68836ACA"/>
    <w:rsid w:val="688D5804"/>
    <w:rsid w:val="6897117D"/>
    <w:rsid w:val="689736F8"/>
    <w:rsid w:val="68B35F15"/>
    <w:rsid w:val="68D0643D"/>
    <w:rsid w:val="68D401F0"/>
    <w:rsid w:val="690C66E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E5F0E"/>
    <w:rsid w:val="6A767148"/>
    <w:rsid w:val="6A7F05D0"/>
    <w:rsid w:val="6AAB324D"/>
    <w:rsid w:val="6AB235AF"/>
    <w:rsid w:val="6ABD719F"/>
    <w:rsid w:val="6AC13E4D"/>
    <w:rsid w:val="6AC83870"/>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934D3"/>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7FD76D"/>
    <w:rsid w:val="6D8B0FD6"/>
    <w:rsid w:val="6D915D95"/>
    <w:rsid w:val="6D94625C"/>
    <w:rsid w:val="6D9B53CB"/>
    <w:rsid w:val="6DB63374"/>
    <w:rsid w:val="6DD07C38"/>
    <w:rsid w:val="6DE76850"/>
    <w:rsid w:val="6DF8337B"/>
    <w:rsid w:val="6E030A47"/>
    <w:rsid w:val="6E1A3980"/>
    <w:rsid w:val="6E2B50E3"/>
    <w:rsid w:val="6E506EFF"/>
    <w:rsid w:val="6E647D53"/>
    <w:rsid w:val="6E8059E4"/>
    <w:rsid w:val="6E930639"/>
    <w:rsid w:val="6E9A3775"/>
    <w:rsid w:val="6E9E45BF"/>
    <w:rsid w:val="6EA34CC4"/>
    <w:rsid w:val="6EC00BE3"/>
    <w:rsid w:val="6EE14809"/>
    <w:rsid w:val="6EE54F57"/>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91A03"/>
    <w:rsid w:val="710A582E"/>
    <w:rsid w:val="71147BFE"/>
    <w:rsid w:val="713116FD"/>
    <w:rsid w:val="71370AC8"/>
    <w:rsid w:val="713D46C5"/>
    <w:rsid w:val="71434E47"/>
    <w:rsid w:val="71486F7F"/>
    <w:rsid w:val="715F2A54"/>
    <w:rsid w:val="71662A10"/>
    <w:rsid w:val="71926986"/>
    <w:rsid w:val="71982A8B"/>
    <w:rsid w:val="71A17BB2"/>
    <w:rsid w:val="71C823A7"/>
    <w:rsid w:val="72204649"/>
    <w:rsid w:val="722C5869"/>
    <w:rsid w:val="72450FB0"/>
    <w:rsid w:val="72487743"/>
    <w:rsid w:val="72540721"/>
    <w:rsid w:val="725E1213"/>
    <w:rsid w:val="727D6954"/>
    <w:rsid w:val="72844D41"/>
    <w:rsid w:val="72862C7E"/>
    <w:rsid w:val="728976DF"/>
    <w:rsid w:val="72936E2F"/>
    <w:rsid w:val="72CF4F19"/>
    <w:rsid w:val="72EA7F26"/>
    <w:rsid w:val="72EC79FB"/>
    <w:rsid w:val="72F378F8"/>
    <w:rsid w:val="72F67BF9"/>
    <w:rsid w:val="731178E3"/>
    <w:rsid w:val="73240DF9"/>
    <w:rsid w:val="732C6F33"/>
    <w:rsid w:val="733D16A9"/>
    <w:rsid w:val="73425548"/>
    <w:rsid w:val="73445350"/>
    <w:rsid w:val="73514DB1"/>
    <w:rsid w:val="736A73D7"/>
    <w:rsid w:val="737C5261"/>
    <w:rsid w:val="73830C7C"/>
    <w:rsid w:val="738A77D2"/>
    <w:rsid w:val="73A553FF"/>
    <w:rsid w:val="73AC15DC"/>
    <w:rsid w:val="73F27930"/>
    <w:rsid w:val="74121260"/>
    <w:rsid w:val="743462D3"/>
    <w:rsid w:val="74365CEE"/>
    <w:rsid w:val="743E7D5E"/>
    <w:rsid w:val="7441374C"/>
    <w:rsid w:val="744149C3"/>
    <w:rsid w:val="74474E71"/>
    <w:rsid w:val="74A93E5A"/>
    <w:rsid w:val="74C633BB"/>
    <w:rsid w:val="74CC21AE"/>
    <w:rsid w:val="74DD3342"/>
    <w:rsid w:val="74FA2C30"/>
    <w:rsid w:val="751D1A0B"/>
    <w:rsid w:val="753B09F7"/>
    <w:rsid w:val="754D5C4B"/>
    <w:rsid w:val="756C78B0"/>
    <w:rsid w:val="757939B3"/>
    <w:rsid w:val="757E50F6"/>
    <w:rsid w:val="75855224"/>
    <w:rsid w:val="75A05064"/>
    <w:rsid w:val="75A85DA3"/>
    <w:rsid w:val="75AB5440"/>
    <w:rsid w:val="75BF7F65"/>
    <w:rsid w:val="75CB60C0"/>
    <w:rsid w:val="75E76F6F"/>
    <w:rsid w:val="75EC127C"/>
    <w:rsid w:val="75F142DB"/>
    <w:rsid w:val="75F23E97"/>
    <w:rsid w:val="760B3F34"/>
    <w:rsid w:val="7621477C"/>
    <w:rsid w:val="76334397"/>
    <w:rsid w:val="765B4F30"/>
    <w:rsid w:val="766C4E79"/>
    <w:rsid w:val="766D6FAF"/>
    <w:rsid w:val="767D07C6"/>
    <w:rsid w:val="768F7316"/>
    <w:rsid w:val="769757DC"/>
    <w:rsid w:val="769B452E"/>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2F56B9"/>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215B2"/>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34BDB"/>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364D5"/>
    <w:rsid w:val="7EFC345C"/>
    <w:rsid w:val="7F1A6960"/>
    <w:rsid w:val="7F272D9E"/>
    <w:rsid w:val="7F397426"/>
    <w:rsid w:val="7F507488"/>
    <w:rsid w:val="7F657C66"/>
    <w:rsid w:val="7F687D9B"/>
    <w:rsid w:val="7F7848F6"/>
    <w:rsid w:val="7FF32CE5"/>
    <w:rsid w:val="7FF54CAF"/>
    <w:rsid w:val="7FFD534D"/>
    <w:rsid w:val="AF9F9B5D"/>
    <w:rsid w:val="FB1B5177"/>
    <w:rsid w:val="FB6BCAC0"/>
    <w:rsid w:val="FFEF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qFormat/>
    <w:uiPriority w:val="99"/>
    <w:pPr>
      <w:keepNext/>
      <w:keepLines/>
      <w:spacing w:before="260" w:after="260" w:line="416" w:lineRule="auto"/>
      <w:outlineLvl w:val="2"/>
    </w:pPr>
    <w:rPr>
      <w:b/>
      <w:bCs/>
      <w:sz w:val="32"/>
      <w:szCs w:val="32"/>
    </w:rPr>
  </w:style>
  <w:style w:type="paragraph" w:styleId="6">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unhideWhenUsed/>
    <w:qFormat/>
    <w:uiPriority w:val="0"/>
    <w:pPr>
      <w:spacing w:after="120"/>
    </w:p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DejaVu Sans" w:hAnsi="DejaVu Sans" w:eastAsia="方正黑体_GBK"/>
      <w:sz w:val="20"/>
    </w:rPr>
  </w:style>
  <w:style w:type="paragraph" w:styleId="14">
    <w:name w:val="annotation text"/>
    <w:basedOn w:val="1"/>
    <w:link w:val="42"/>
    <w:qFormat/>
    <w:uiPriority w:val="99"/>
    <w:pPr>
      <w:jc w:val="left"/>
    </w:pPr>
  </w:style>
  <w:style w:type="paragraph" w:styleId="15">
    <w:name w:val="Body Text 3"/>
    <w:basedOn w:val="1"/>
    <w:link w:val="51"/>
    <w:unhideWhenUsed/>
    <w:qFormat/>
    <w:uiPriority w:val="99"/>
    <w:pPr>
      <w:spacing w:after="120"/>
    </w:pPr>
    <w:rPr>
      <w:sz w:val="16"/>
      <w:szCs w:val="16"/>
    </w:rPr>
  </w:style>
  <w:style w:type="paragraph" w:styleId="16">
    <w:name w:val="Body Text Indent"/>
    <w:basedOn w:val="1"/>
    <w:link w:val="41"/>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6"/>
    <w:link w:val="53"/>
    <w:qFormat/>
    <w:uiPriority w:val="0"/>
    <w:rPr>
      <w:rFonts w:ascii="宋体" w:hAnsi="Courier New"/>
      <w:kern w:val="0"/>
      <w:sz w:val="20"/>
      <w:szCs w:val="21"/>
    </w:rPr>
  </w:style>
  <w:style w:type="paragraph" w:styleId="20">
    <w:name w:val="Date"/>
    <w:basedOn w:val="1"/>
    <w:next w:val="1"/>
    <w:link w:val="54"/>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55"/>
    <w:unhideWhenUsed/>
    <w:qFormat/>
    <w:uiPriority w:val="99"/>
    <w:pPr>
      <w:tabs>
        <w:tab w:val="center" w:pos="4153"/>
        <w:tab w:val="right" w:pos="8306"/>
      </w:tabs>
      <w:snapToGrid w:val="0"/>
      <w:jc w:val="left"/>
    </w:pPr>
    <w:rPr>
      <w:kern w:val="0"/>
      <w:sz w:val="18"/>
      <w:szCs w:val="18"/>
    </w:rPr>
  </w:style>
  <w:style w:type="paragraph" w:styleId="23">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4"/>
    <w:next w:val="1"/>
    <w:link w:val="43"/>
    <w:qFormat/>
    <w:uiPriority w:val="99"/>
    <w:rPr>
      <w:b/>
      <w:bCs/>
    </w:rPr>
  </w:style>
  <w:style w:type="paragraph" w:styleId="29">
    <w:name w:val="Body Text First Indent"/>
    <w:basedOn w:val="2"/>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4"/>
    <w:qFormat/>
    <w:uiPriority w:val="99"/>
    <w:rPr>
      <w:rFonts w:ascii="Times New Roman" w:hAnsi="Times New Roman"/>
      <w:kern w:val="2"/>
      <w:sz w:val="21"/>
      <w:szCs w:val="24"/>
    </w:rPr>
  </w:style>
  <w:style w:type="character" w:customStyle="1" w:styleId="43">
    <w:name w:val="批注主题 Char"/>
    <w:link w:val="28"/>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3"/>
    <w:qFormat/>
    <w:uiPriority w:val="99"/>
    <w:rPr>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3 Char"/>
    <w:link w:val="5"/>
    <w:qFormat/>
    <w:uiPriority w:val="99"/>
    <w:rPr>
      <w:b/>
      <w:bCs/>
      <w:kern w:val="2"/>
      <w:sz w:val="32"/>
      <w:szCs w:val="32"/>
    </w:rPr>
  </w:style>
  <w:style w:type="character" w:customStyle="1" w:styleId="48">
    <w:name w:val="标题 4 Char"/>
    <w:link w:val="6"/>
    <w:qFormat/>
    <w:uiPriority w:val="9"/>
    <w:rPr>
      <w:rFonts w:ascii="Arial" w:hAnsi="Arial" w:eastAsia="黑体"/>
      <w:b/>
      <w:kern w:val="2"/>
      <w:sz w:val="28"/>
      <w:szCs w:val="24"/>
    </w:rPr>
  </w:style>
  <w:style w:type="character" w:customStyle="1" w:styleId="49">
    <w:name w:val="标题 5 Char"/>
    <w:link w:val="7"/>
    <w:qFormat/>
    <w:uiPriority w:val="9"/>
    <w:rPr>
      <w:rFonts w:ascii="Times New Roman" w:hAnsi="Times New Roman"/>
      <w:b/>
      <w:bCs/>
      <w:kern w:val="2"/>
      <w:sz w:val="28"/>
      <w:szCs w:val="28"/>
    </w:rPr>
  </w:style>
  <w:style w:type="character" w:customStyle="1" w:styleId="50">
    <w:name w:val="标题 8 Char1"/>
    <w:link w:val="9"/>
    <w:semiHidden/>
    <w:qFormat/>
    <w:uiPriority w:val="9"/>
    <w:rPr>
      <w:rFonts w:ascii="等线 Light" w:hAnsi="等线 Light" w:eastAsia="等线 Light" w:cs="Times New Roman"/>
      <w:kern w:val="2"/>
      <w:sz w:val="24"/>
      <w:szCs w:val="24"/>
    </w:rPr>
  </w:style>
  <w:style w:type="character" w:customStyle="1" w:styleId="51">
    <w:name w:val="正文文本 3 Char"/>
    <w:link w:val="15"/>
    <w:semiHidden/>
    <w:qFormat/>
    <w:uiPriority w:val="99"/>
    <w:rPr>
      <w:kern w:val="2"/>
      <w:sz w:val="16"/>
      <w:szCs w:val="16"/>
    </w:rPr>
  </w:style>
  <w:style w:type="character" w:customStyle="1" w:styleId="52">
    <w:name w:val="正文文本 Char1"/>
    <w:link w:val="2"/>
    <w:qFormat/>
    <w:uiPriority w:val="0"/>
    <w:rPr>
      <w:rFonts w:ascii="Times New Roman" w:hAnsi="Times New Roman"/>
      <w:kern w:val="2"/>
      <w:sz w:val="21"/>
      <w:szCs w:val="24"/>
    </w:rPr>
  </w:style>
  <w:style w:type="character" w:customStyle="1" w:styleId="53">
    <w:name w:val="纯文本 Char1"/>
    <w:link w:val="19"/>
    <w:qFormat/>
    <w:uiPriority w:val="0"/>
    <w:rPr>
      <w:rFonts w:ascii="宋体" w:hAnsi="Courier New" w:eastAsia="宋体" w:cs="Courier New"/>
      <w:szCs w:val="21"/>
    </w:rPr>
  </w:style>
  <w:style w:type="character" w:customStyle="1" w:styleId="54">
    <w:name w:val="日期 Char"/>
    <w:link w:val="20"/>
    <w:semiHidden/>
    <w:qFormat/>
    <w:uiPriority w:val="99"/>
    <w:rPr>
      <w:rFonts w:ascii="Times New Roman" w:hAnsi="Times New Roman"/>
      <w:kern w:val="2"/>
      <w:sz w:val="21"/>
      <w:szCs w:val="24"/>
    </w:rPr>
  </w:style>
  <w:style w:type="character" w:customStyle="1" w:styleId="55">
    <w:name w:val="页脚 Char"/>
    <w:link w:val="22"/>
    <w:qFormat/>
    <w:uiPriority w:val="99"/>
    <w:rPr>
      <w:sz w:val="18"/>
      <w:szCs w:val="18"/>
    </w:rPr>
  </w:style>
  <w:style w:type="character" w:customStyle="1" w:styleId="56">
    <w:name w:val="页眉 Char"/>
    <w:link w:val="23"/>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74</Pages>
  <Words>31559</Words>
  <Characters>33679</Characters>
  <Lines>94</Lines>
  <Paragraphs>110</Paragraphs>
  <TotalTime>17</TotalTime>
  <ScaleCrop>false</ScaleCrop>
  <LinksUpToDate>false</LinksUpToDate>
  <CharactersWithSpaces>35211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2023-11-02T16:20:00Z</dcterms:created>
  <dc:creator>唐冰</dc:creator>
  <cp:lastModifiedBy>gxxc</cp:lastModifiedBy>
  <cp:lastPrinted>2021-08-27T10:26:00Z</cp:lastPrinted>
  <dcterms:modified xsi:type="dcterms:W3CDTF">2025-04-14T09:05:33Z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AA89F97CA3084EE09BEC05B16630B829_13</vt:lpwstr>
  </property>
  <property fmtid="{D5CDD505-2E9C-101B-9397-08002B2CF9AE}" pid="4" name="KSOTemplateDocerSaveRecord">
    <vt:lpwstr>eyJoZGlkIjoiM2FhMWQ1NDdlMDcwOGY2MmQzMWI1ODZiZGZkNzJkY2IiLCJ1c2VySWQiOiIzMzI3NDAyNDMifQ==</vt:lpwstr>
  </property>
</Properties>
</file>